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DEE87" w14:textId="77777777" w:rsidR="009C6159" w:rsidRPr="00722783" w:rsidRDefault="009C6159" w:rsidP="009C61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</w:pPr>
      <w:proofErr w:type="spellStart"/>
      <w:r w:rsidRPr="007227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  <w:t>Ajutoare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  <w:t>încălzire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  <w:t>sezonul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  <w:t xml:space="preserve"> 2024-2025</w:t>
      </w:r>
    </w:p>
    <w:p w14:paraId="0C14A004" w14:textId="77777777" w:rsidR="009C6159" w:rsidRPr="009C6159" w:rsidRDefault="009C6159" w:rsidP="009C6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Ajutorul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pentru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încălzirea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locuinței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în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Sezonul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rece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noiembrie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2024 –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martie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2025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acordat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în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baza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Legii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nr. 226/2021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privind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stabilirea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măsurilor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de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protecție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socială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pentru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consumatorul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vulnerabil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de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energie</w:t>
      </w:r>
      <w:proofErr w:type="spellEnd"/>
    </w:p>
    <w:p w14:paraId="0E4B6D62" w14:textId="77777777" w:rsidR="009C6159" w:rsidRPr="009C6159" w:rsidRDefault="009C6159" w:rsidP="009C6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       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În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conformitate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cu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prevederile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art. I al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Ordonanței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de Urgență a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Guvernului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nr. 105/02.09.2024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privind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unele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măsuri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de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protecție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socială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, </w:t>
      </w:r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la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stabilirea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drepturilor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privind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ajutorul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pentru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încălzirea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locuinței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pentru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sezonul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rece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noiembrie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2024 –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martie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2025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și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suplimentului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pentru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energie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pentru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perioada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noiembrie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2024 –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octombrie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2025, se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ia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în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calcul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cuantumul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pensiilor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aferente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lunii</w:t>
      </w:r>
      <w:proofErr w:type="spellEnd"/>
      <w:r w:rsidRPr="009C61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august 2024.</w:t>
      </w:r>
    </w:p>
    <w:p w14:paraId="7AB5EED7" w14:textId="619BB533" w:rsidR="009C6159" w:rsidRDefault="00722783" w:rsidP="009C6159">
      <w:pPr>
        <w:pStyle w:val="NormalWeb"/>
      </w:pPr>
      <w:proofErr w:type="spellStart"/>
      <w:r>
        <w:rPr>
          <w:rStyle w:val="Robust"/>
          <w:rFonts w:eastAsiaTheme="majorEastAsia"/>
        </w:rPr>
        <w:t>D</w:t>
      </w:r>
      <w:r w:rsidR="009C6159">
        <w:rPr>
          <w:rStyle w:val="Robust"/>
          <w:rFonts w:eastAsiaTheme="majorEastAsia"/>
        </w:rPr>
        <w:t>efiniții</w:t>
      </w:r>
      <w:proofErr w:type="spellEnd"/>
      <w:r w:rsidR="009C6159">
        <w:rPr>
          <w:rStyle w:val="Robust"/>
          <w:rFonts w:eastAsiaTheme="majorEastAsia"/>
        </w:rPr>
        <w:t>:</w:t>
      </w:r>
    </w:p>
    <w:p w14:paraId="3098AACA" w14:textId="77777777" w:rsidR="009C6159" w:rsidRDefault="009C6159" w:rsidP="009C6159">
      <w:pPr>
        <w:pStyle w:val="NormalWeb"/>
      </w:pPr>
      <w:proofErr w:type="spellStart"/>
      <w:r>
        <w:rPr>
          <w:rStyle w:val="Robust"/>
          <w:rFonts w:eastAsiaTheme="majorEastAsia"/>
        </w:rPr>
        <w:t>Consumator</w:t>
      </w:r>
      <w:proofErr w:type="spellEnd"/>
      <w:r>
        <w:rPr>
          <w:rStyle w:val="Robust"/>
          <w:rFonts w:eastAsiaTheme="majorEastAsia"/>
        </w:rPr>
        <w:t xml:space="preserve"> </w:t>
      </w:r>
      <w:proofErr w:type="spellStart"/>
      <w:r>
        <w:rPr>
          <w:rStyle w:val="Robust"/>
          <w:rFonts w:eastAsiaTheme="majorEastAsia"/>
        </w:rPr>
        <w:t>vulnerabil</w:t>
      </w:r>
      <w:proofErr w:type="spellEnd"/>
      <w:r>
        <w:rPr>
          <w:rStyle w:val="Robust"/>
          <w:rFonts w:eastAsiaTheme="majorEastAsia"/>
        </w:rPr>
        <w:t xml:space="preserve"> de </w:t>
      </w:r>
      <w:proofErr w:type="spellStart"/>
      <w:r>
        <w:rPr>
          <w:rStyle w:val="Robust"/>
          <w:rFonts w:eastAsiaTheme="majorEastAsia"/>
        </w:rPr>
        <w:t>energie</w:t>
      </w:r>
      <w:proofErr w:type="spellEnd"/>
      <w:r>
        <w:t xml:space="preserve"> –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singură</w:t>
      </w:r>
      <w:proofErr w:type="spellEnd"/>
      <w:r>
        <w:t xml:space="preserve">/familia care, din motive de </w:t>
      </w:r>
      <w:proofErr w:type="spellStart"/>
      <w:r>
        <w:t>sănătate</w:t>
      </w:r>
      <w:proofErr w:type="spellEnd"/>
      <w:r>
        <w:t xml:space="preserve">, </w:t>
      </w:r>
      <w:proofErr w:type="spellStart"/>
      <w:r>
        <w:t>vârstă</w:t>
      </w:r>
      <w:proofErr w:type="spellEnd"/>
      <w:r>
        <w:t xml:space="preserve">,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insuficiente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izolare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sursele</w:t>
      </w:r>
      <w:proofErr w:type="spellEnd"/>
      <w:r>
        <w:t xml:space="preserve"> de </w:t>
      </w:r>
      <w:proofErr w:type="spellStart"/>
      <w:r>
        <w:t>energie</w:t>
      </w:r>
      <w:proofErr w:type="spellEnd"/>
      <w:r>
        <w:t xml:space="preserve">, </w:t>
      </w:r>
      <w:proofErr w:type="spellStart"/>
      <w:r>
        <w:t>necesită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protecție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a-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cel </w:t>
      </w:r>
      <w:proofErr w:type="spellStart"/>
      <w:r>
        <w:t>puțin</w:t>
      </w:r>
      <w:proofErr w:type="spellEnd"/>
      <w:r>
        <w:t xml:space="preserve"> </w:t>
      </w:r>
      <w:proofErr w:type="spellStart"/>
      <w:r>
        <w:t>nevoile</w:t>
      </w:r>
      <w:proofErr w:type="spellEnd"/>
      <w:r>
        <w:t xml:space="preserve"> </w:t>
      </w:r>
      <w:proofErr w:type="spellStart"/>
      <w:r>
        <w:t>energetice</w:t>
      </w:r>
      <w:proofErr w:type="spellEnd"/>
      <w:r>
        <w:t xml:space="preserve"> </w:t>
      </w:r>
      <w:proofErr w:type="spellStart"/>
      <w:r>
        <w:t>minimale</w:t>
      </w:r>
      <w:proofErr w:type="spellEnd"/>
      <w:r>
        <w:t>.</w:t>
      </w:r>
    </w:p>
    <w:p w14:paraId="6BDCC472" w14:textId="77777777" w:rsidR="009C6159" w:rsidRDefault="009C6159" w:rsidP="009C6159">
      <w:pPr>
        <w:pStyle w:val="NormalWeb"/>
      </w:pPr>
      <w:r>
        <w:rPr>
          <w:rStyle w:val="Robust"/>
          <w:rFonts w:eastAsiaTheme="majorEastAsia"/>
        </w:rPr>
        <w:t xml:space="preserve"> Venit net </w:t>
      </w:r>
      <w:proofErr w:type="spellStart"/>
      <w:r>
        <w:rPr>
          <w:rStyle w:val="Robust"/>
          <w:rFonts w:eastAsiaTheme="majorEastAsia"/>
        </w:rPr>
        <w:t>mediu</w:t>
      </w:r>
      <w:proofErr w:type="spellEnd"/>
      <w:r>
        <w:rPr>
          <w:rStyle w:val="Robust"/>
          <w:rFonts w:eastAsiaTheme="majorEastAsia"/>
        </w:rPr>
        <w:t xml:space="preserve"> pe </w:t>
      </w:r>
      <w:proofErr w:type="spellStart"/>
      <w:r>
        <w:rPr>
          <w:rStyle w:val="Robust"/>
          <w:rFonts w:eastAsiaTheme="majorEastAsia"/>
        </w:rPr>
        <w:t>membru</w:t>
      </w:r>
      <w:proofErr w:type="spellEnd"/>
      <w:r>
        <w:rPr>
          <w:rStyle w:val="Robust"/>
          <w:rFonts w:eastAsiaTheme="majorEastAsia"/>
        </w:rPr>
        <w:t xml:space="preserve"> de </w:t>
      </w:r>
      <w:proofErr w:type="spellStart"/>
      <w:r>
        <w:rPr>
          <w:rStyle w:val="Robust"/>
          <w:rFonts w:eastAsiaTheme="majorEastAsia"/>
        </w:rPr>
        <w:t>familie</w:t>
      </w:r>
      <w:proofErr w:type="spellEnd"/>
      <w:r>
        <w:rPr>
          <w:rStyle w:val="Robust"/>
          <w:rFonts w:eastAsiaTheme="majorEastAsia"/>
        </w:rPr>
        <w:t xml:space="preserve"> </w:t>
      </w:r>
      <w:r>
        <w:t xml:space="preserve">=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veniturilor</w:t>
      </w:r>
      <w:proofErr w:type="spellEnd"/>
      <w:r>
        <w:t xml:space="preserve"> </w:t>
      </w:r>
      <w:r>
        <w:rPr>
          <w:u w:val="single"/>
        </w:rPr>
        <w:t>nete</w:t>
      </w:r>
      <w:r>
        <w:t xml:space="preserve"> ale </w:t>
      </w:r>
      <w:proofErr w:type="spellStart"/>
      <w:r>
        <w:t>persoanelor</w:t>
      </w:r>
      <w:proofErr w:type="spellEnd"/>
      <w:r>
        <w:t xml:space="preserve"> din </w:t>
      </w:r>
      <w:proofErr w:type="spellStart"/>
      <w:r>
        <w:t>familie</w:t>
      </w:r>
      <w:proofErr w:type="spellEnd"/>
      <w:r>
        <w:t xml:space="preserve"> (</w:t>
      </w:r>
      <w:proofErr w:type="spellStart"/>
      <w:r>
        <w:rPr>
          <w:u w:val="single"/>
        </w:rPr>
        <w:t>realizate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în</w:t>
      </w:r>
      <w:proofErr w:type="spellEnd"/>
      <w:r>
        <w:t xml:space="preserve"> </w:t>
      </w:r>
      <w:r>
        <w:rPr>
          <w:u w:val="single"/>
        </w:rPr>
        <w:t>luna</w:t>
      </w:r>
      <w:r>
        <w:t xml:space="preserve"> </w:t>
      </w:r>
      <w:proofErr w:type="spellStart"/>
      <w:r>
        <w:rPr>
          <w:u w:val="single"/>
        </w:rPr>
        <w:t>anterioară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depunerii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cererii</w:t>
      </w:r>
      <w:proofErr w:type="spellEnd"/>
      <w:r>
        <w:t xml:space="preserve">) </w:t>
      </w:r>
      <w:proofErr w:type="spellStart"/>
      <w:r>
        <w:t>împărțită</w:t>
      </w:r>
      <w:proofErr w:type="spellEnd"/>
      <w:r>
        <w:t xml:space="preserve"> la </w:t>
      </w:r>
      <w:proofErr w:type="spellStart"/>
      <w:r>
        <w:t>numărul</w:t>
      </w:r>
      <w:proofErr w:type="spellEnd"/>
      <w:r>
        <w:t xml:space="preserve"> total de </w:t>
      </w:r>
      <w:proofErr w:type="spellStart"/>
      <w:r>
        <w:t>membri</w:t>
      </w:r>
      <w:proofErr w:type="spellEnd"/>
      <w:r>
        <w:t xml:space="preserve"> din familia </w:t>
      </w:r>
      <w:proofErr w:type="spellStart"/>
      <w:r>
        <w:t>respectivă</w:t>
      </w:r>
      <w:proofErr w:type="spellEnd"/>
      <w:r>
        <w:t>.</w:t>
      </w:r>
    </w:p>
    <w:p w14:paraId="0F694B0B" w14:textId="77777777" w:rsidR="009C6159" w:rsidRDefault="009C6159" w:rsidP="009C6159">
      <w:pPr>
        <w:pStyle w:val="NormalWeb"/>
      </w:pPr>
      <w:r>
        <w:rPr>
          <w:rStyle w:val="Robust"/>
          <w:rFonts w:eastAsiaTheme="majorEastAsia"/>
        </w:rPr>
        <w:t xml:space="preserve">Venit net total al </w:t>
      </w:r>
      <w:proofErr w:type="spellStart"/>
      <w:r>
        <w:rPr>
          <w:rStyle w:val="Robust"/>
          <w:rFonts w:eastAsiaTheme="majorEastAsia"/>
        </w:rPr>
        <w:t>persoanei</w:t>
      </w:r>
      <w:proofErr w:type="spellEnd"/>
      <w:r>
        <w:rPr>
          <w:rStyle w:val="Robust"/>
          <w:rFonts w:eastAsiaTheme="majorEastAsia"/>
        </w:rPr>
        <w:t xml:space="preserve"> </w:t>
      </w:r>
      <w:proofErr w:type="spellStart"/>
      <w:r>
        <w:rPr>
          <w:rStyle w:val="Robust"/>
          <w:rFonts w:eastAsiaTheme="majorEastAsia"/>
        </w:rPr>
        <w:t>singure</w:t>
      </w:r>
      <w:proofErr w:type="spellEnd"/>
      <w:r>
        <w:rPr>
          <w:rStyle w:val="Robust"/>
          <w:rFonts w:eastAsiaTheme="majorEastAsia"/>
        </w:rPr>
        <w:t xml:space="preserve"> </w:t>
      </w:r>
      <w:r>
        <w:t xml:space="preserve">=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veniturilor</w:t>
      </w:r>
      <w:proofErr w:type="spellEnd"/>
      <w:r>
        <w:t xml:space="preserve"> </w:t>
      </w:r>
      <w:r>
        <w:rPr>
          <w:u w:val="single"/>
        </w:rPr>
        <w:t>nete</w:t>
      </w:r>
      <w:r>
        <w:t xml:space="preserve"> ale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singure</w:t>
      </w:r>
      <w:proofErr w:type="spellEnd"/>
      <w:r>
        <w:t xml:space="preserve"> (</w:t>
      </w:r>
      <w:proofErr w:type="spellStart"/>
      <w:r>
        <w:t>realizate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luna </w:t>
      </w:r>
      <w:proofErr w:type="spellStart"/>
      <w:r>
        <w:t>anterioară</w:t>
      </w:r>
      <w:proofErr w:type="spellEnd"/>
      <w:r>
        <w:t xml:space="preserve"> </w:t>
      </w:r>
      <w:proofErr w:type="spellStart"/>
      <w:r>
        <w:t>depunerii</w:t>
      </w:r>
      <w:proofErr w:type="spellEnd"/>
      <w:r>
        <w:t xml:space="preserve"> </w:t>
      </w:r>
      <w:proofErr w:type="spellStart"/>
      <w:r>
        <w:t>cererii</w:t>
      </w:r>
      <w:proofErr w:type="spellEnd"/>
      <w:r>
        <w:t>).</w:t>
      </w:r>
    </w:p>
    <w:p w14:paraId="5570A1C3" w14:textId="77777777" w:rsidR="009C6159" w:rsidRDefault="009C6159" w:rsidP="009C6159">
      <w:pPr>
        <w:pStyle w:val="NormalWeb"/>
      </w:pPr>
      <w:proofErr w:type="spellStart"/>
      <w:r>
        <w:rPr>
          <w:rStyle w:val="Robust"/>
          <w:rFonts w:eastAsiaTheme="majorEastAsia"/>
        </w:rPr>
        <w:t>Consum</w:t>
      </w:r>
      <w:proofErr w:type="spellEnd"/>
      <w:r>
        <w:rPr>
          <w:rStyle w:val="Robust"/>
          <w:rFonts w:eastAsiaTheme="majorEastAsia"/>
        </w:rPr>
        <w:t xml:space="preserve"> </w:t>
      </w:r>
      <w:proofErr w:type="spellStart"/>
      <w:r>
        <w:rPr>
          <w:rStyle w:val="Robust"/>
          <w:rFonts w:eastAsiaTheme="majorEastAsia"/>
        </w:rPr>
        <w:t>mediu</w:t>
      </w:r>
      <w:proofErr w:type="spellEnd"/>
      <w:r>
        <w:rPr>
          <w:rStyle w:val="Robust"/>
          <w:rFonts w:eastAsiaTheme="majorEastAsia"/>
        </w:rPr>
        <w:t xml:space="preserve"> lunar de </w:t>
      </w:r>
      <w:proofErr w:type="spellStart"/>
      <w:r>
        <w:rPr>
          <w:rStyle w:val="Robust"/>
          <w:rFonts w:eastAsiaTheme="majorEastAsia"/>
        </w:rPr>
        <w:t>energie</w:t>
      </w:r>
      <w:proofErr w:type="spellEnd"/>
      <w:r>
        <w:rPr>
          <w:rStyle w:val="Robust"/>
          <w:rFonts w:eastAsiaTheme="majorEastAsia"/>
        </w:rPr>
        <w:t xml:space="preserve"> </w:t>
      </w:r>
      <w:proofErr w:type="spellStart"/>
      <w:r>
        <w:rPr>
          <w:rStyle w:val="Robust"/>
          <w:rFonts w:eastAsiaTheme="majorEastAsia"/>
        </w:rPr>
        <w:t>termică</w:t>
      </w:r>
      <w:proofErr w:type="spellEnd"/>
      <w:r>
        <w:t xml:space="preserve"> – </w:t>
      </w:r>
      <w:proofErr w:type="spellStart"/>
      <w:r>
        <w:t>cantitatea</w:t>
      </w:r>
      <w:proofErr w:type="spellEnd"/>
      <w:r>
        <w:t xml:space="preserve"> de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termică</w:t>
      </w:r>
      <w:proofErr w:type="spellEnd"/>
      <w:r>
        <w:t xml:space="preserve">, </w:t>
      </w:r>
      <w:proofErr w:type="spellStart"/>
      <w:r>
        <w:t>măsurată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gigacalorii</w:t>
      </w:r>
      <w:proofErr w:type="spellEnd"/>
      <w:r>
        <w:t xml:space="preserve">,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încălzirii</w:t>
      </w:r>
      <w:proofErr w:type="spellEnd"/>
      <w:r>
        <w:t xml:space="preserve"> </w:t>
      </w:r>
      <w:proofErr w:type="spellStart"/>
      <w:r>
        <w:t>locuinței</w:t>
      </w:r>
      <w:proofErr w:type="spellEnd"/>
      <w:r>
        <w:t xml:space="preserve">, </w:t>
      </w:r>
      <w:proofErr w:type="spellStart"/>
      <w:r>
        <w:t>stabilită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singură</w:t>
      </w:r>
      <w:proofErr w:type="spellEnd"/>
      <w:r>
        <w:t>/</w:t>
      </w:r>
      <w:proofErr w:type="spellStart"/>
      <w:r>
        <w:t>familie</w:t>
      </w:r>
      <w:proofErr w:type="spellEnd"/>
      <w:r>
        <w:t xml:space="preserve">, pe tip de </w:t>
      </w:r>
      <w:proofErr w:type="spellStart"/>
      <w:r>
        <w:t>apartament</w:t>
      </w:r>
      <w:proofErr w:type="spellEnd"/>
      <w:r>
        <w:t>/</w:t>
      </w:r>
      <w:proofErr w:type="spellStart"/>
      <w:r>
        <w:t>locuință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de zona de </w:t>
      </w:r>
      <w:proofErr w:type="spellStart"/>
      <w:r>
        <w:t>temperatură</w:t>
      </w:r>
      <w:proofErr w:type="spellEnd"/>
      <w:r>
        <w:t>.</w:t>
      </w:r>
    </w:p>
    <w:p w14:paraId="5CFA9B97" w14:textId="77777777" w:rsidR="009C6159" w:rsidRDefault="009C6159" w:rsidP="009C6159">
      <w:pPr>
        <w:pStyle w:val="NormalWeb"/>
      </w:pPr>
      <w:proofErr w:type="spellStart"/>
      <w:r>
        <w:rPr>
          <w:rStyle w:val="Robust"/>
          <w:rFonts w:eastAsiaTheme="majorEastAsia"/>
        </w:rPr>
        <w:t>Familie</w:t>
      </w:r>
      <w:proofErr w:type="spellEnd"/>
      <w:r>
        <w:t xml:space="preserve"> – </w:t>
      </w:r>
      <w:proofErr w:type="spellStart"/>
      <w:r>
        <w:t>soțul</w:t>
      </w:r>
      <w:proofErr w:type="spellEnd"/>
      <w:r>
        <w:t xml:space="preserve">, </w:t>
      </w:r>
      <w:proofErr w:type="spellStart"/>
      <w:r>
        <w:t>soția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, </w:t>
      </w:r>
      <w:proofErr w:type="spellStart"/>
      <w:r>
        <w:t>indiferent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nu </w:t>
      </w:r>
      <w:proofErr w:type="spellStart"/>
      <w:r>
        <w:t>relații</w:t>
      </w:r>
      <w:proofErr w:type="spellEnd"/>
      <w:r>
        <w:t xml:space="preserve"> de </w:t>
      </w:r>
      <w:proofErr w:type="spellStart"/>
      <w:r>
        <w:t>rudenie</w:t>
      </w:r>
      <w:proofErr w:type="spellEnd"/>
      <w:r>
        <w:t xml:space="preserve">, care au </w:t>
      </w:r>
      <w:proofErr w:type="spellStart"/>
      <w:r>
        <w:t>același</w:t>
      </w:r>
      <w:proofErr w:type="spellEnd"/>
      <w:r>
        <w:t xml:space="preserve">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reședință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care </w:t>
      </w:r>
      <w:proofErr w:type="spellStart"/>
      <w:r>
        <w:t>locuiesc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gospodăresc</w:t>
      </w:r>
      <w:proofErr w:type="spellEnd"/>
      <w:r>
        <w:t xml:space="preserve"> </w:t>
      </w:r>
      <w:proofErr w:type="spellStart"/>
      <w:r>
        <w:t>împreună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sunt </w:t>
      </w:r>
      <w:proofErr w:type="spellStart"/>
      <w:r>
        <w:t>înscrise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de </w:t>
      </w:r>
      <w:proofErr w:type="spellStart"/>
      <w:r>
        <w:t>imobil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sunt </w:t>
      </w:r>
      <w:proofErr w:type="spellStart"/>
      <w:r>
        <w:t>luate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calcul</w:t>
      </w:r>
      <w:proofErr w:type="spellEnd"/>
      <w:r>
        <w:t xml:space="preserve"> la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cheltuielilor</w:t>
      </w:r>
      <w:proofErr w:type="spellEnd"/>
      <w:r>
        <w:t xml:space="preserve"> de </w:t>
      </w:r>
      <w:proofErr w:type="spellStart"/>
      <w:r>
        <w:t>întreținere</w:t>
      </w:r>
      <w:proofErr w:type="spellEnd"/>
      <w:r>
        <w:t xml:space="preserve"> a </w:t>
      </w:r>
      <w:proofErr w:type="spellStart"/>
      <w:r>
        <w:t>locuinței</w:t>
      </w:r>
      <w:proofErr w:type="spellEnd"/>
      <w:r>
        <w:t>.</w:t>
      </w:r>
    </w:p>
    <w:p w14:paraId="152FE353" w14:textId="77777777" w:rsidR="009C6159" w:rsidRDefault="009C6159" w:rsidP="009C6159">
      <w:pPr>
        <w:pStyle w:val="NormalWeb"/>
      </w:pPr>
      <w:proofErr w:type="spellStart"/>
      <w:r>
        <w:rPr>
          <w:rStyle w:val="Robust"/>
          <w:rFonts w:eastAsiaTheme="majorEastAsia"/>
        </w:rPr>
        <w:t>Persoană</w:t>
      </w:r>
      <w:proofErr w:type="spellEnd"/>
      <w:r>
        <w:rPr>
          <w:rStyle w:val="Robust"/>
          <w:rFonts w:eastAsiaTheme="majorEastAsia"/>
        </w:rPr>
        <w:t xml:space="preserve"> </w:t>
      </w:r>
      <w:proofErr w:type="spellStart"/>
      <w:r>
        <w:rPr>
          <w:rStyle w:val="Robust"/>
          <w:rFonts w:eastAsiaTheme="majorEastAsia"/>
        </w:rPr>
        <w:t>singură</w:t>
      </w:r>
      <w:proofErr w:type="spellEnd"/>
      <w:r>
        <w:t xml:space="preserve"> – </w:t>
      </w:r>
      <w:proofErr w:type="spellStart"/>
      <w:r>
        <w:t>persoana</w:t>
      </w:r>
      <w:proofErr w:type="spellEnd"/>
      <w:r>
        <w:t xml:space="preserve"> care a </w:t>
      </w:r>
      <w:proofErr w:type="spellStart"/>
      <w:r>
        <w:t>împlinit</w:t>
      </w:r>
      <w:proofErr w:type="spellEnd"/>
      <w:r>
        <w:t xml:space="preserve"> </w:t>
      </w:r>
      <w:proofErr w:type="spellStart"/>
      <w:r>
        <w:t>vârsta</w:t>
      </w:r>
      <w:proofErr w:type="spellEnd"/>
      <w:r>
        <w:t xml:space="preserve"> de 18 ani, care </w:t>
      </w:r>
      <w:proofErr w:type="spellStart"/>
      <w:r>
        <w:t>locuiește</w:t>
      </w:r>
      <w:proofErr w:type="spellEnd"/>
      <w:r>
        <w:t xml:space="preserve"> </w:t>
      </w:r>
      <w:proofErr w:type="spellStart"/>
      <w:r>
        <w:t>singură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nu se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întreținerea</w:t>
      </w:r>
      <w:proofErr w:type="spellEnd"/>
      <w:r>
        <w:t xml:space="preserve"> </w:t>
      </w:r>
      <w:proofErr w:type="spellStart"/>
      <w:r>
        <w:t>părinților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cu </w:t>
      </w:r>
      <w:proofErr w:type="spellStart"/>
      <w:r>
        <w:t>vârsta</w:t>
      </w:r>
      <w:proofErr w:type="spellEnd"/>
      <w:r>
        <w:t xml:space="preserve"> </w:t>
      </w:r>
      <w:proofErr w:type="spellStart"/>
      <w:r>
        <w:t>cuprinsă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16 </w:t>
      </w:r>
      <w:proofErr w:type="spellStart"/>
      <w:r>
        <w:t>și</w:t>
      </w:r>
      <w:proofErr w:type="spellEnd"/>
      <w:r>
        <w:t xml:space="preserve"> 18 ani, care </w:t>
      </w:r>
      <w:proofErr w:type="spellStart"/>
      <w:r>
        <w:t>locuiește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gospodărește</w:t>
      </w:r>
      <w:proofErr w:type="spellEnd"/>
      <w:r>
        <w:t xml:space="preserve"> </w:t>
      </w:r>
      <w:proofErr w:type="spellStart"/>
      <w:r>
        <w:t>singură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are capacitate de </w:t>
      </w:r>
      <w:proofErr w:type="spellStart"/>
      <w:r>
        <w:t>exercițiu</w:t>
      </w:r>
      <w:proofErr w:type="spellEnd"/>
      <w:r>
        <w:t xml:space="preserve"> </w:t>
      </w:r>
      <w:proofErr w:type="spellStart"/>
      <w:r>
        <w:t>anticipată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> </w:t>
      </w:r>
      <w:hyperlink r:id="rId5" w:history="1">
        <w:r>
          <w:rPr>
            <w:rStyle w:val="Hyperlink"/>
            <w:rFonts w:eastAsiaTheme="majorEastAsia"/>
          </w:rPr>
          <w:t xml:space="preserve">art. 40 din </w:t>
        </w:r>
        <w:proofErr w:type="spellStart"/>
        <w:r>
          <w:rPr>
            <w:rStyle w:val="Hyperlink"/>
            <w:rFonts w:eastAsiaTheme="majorEastAsia"/>
          </w:rPr>
          <w:t>Legea</w:t>
        </w:r>
        <w:proofErr w:type="spellEnd"/>
        <w:r>
          <w:rPr>
            <w:rStyle w:val="Hyperlink"/>
            <w:rFonts w:eastAsiaTheme="majorEastAsia"/>
          </w:rPr>
          <w:t xml:space="preserve"> nr. 287/2009 </w:t>
        </w:r>
        <w:proofErr w:type="spellStart"/>
        <w:r>
          <w:rPr>
            <w:rStyle w:val="Hyperlink"/>
            <w:rFonts w:eastAsiaTheme="majorEastAsia"/>
          </w:rPr>
          <w:t>privind</w:t>
        </w:r>
        <w:proofErr w:type="spellEnd"/>
        <w:r>
          <w:rPr>
            <w:rStyle w:val="Hyperlink"/>
            <w:rFonts w:eastAsiaTheme="majorEastAsia"/>
          </w:rPr>
          <w:t xml:space="preserve"> </w:t>
        </w:r>
        <w:proofErr w:type="spellStart"/>
        <w:r>
          <w:rPr>
            <w:rStyle w:val="Hyperlink"/>
            <w:rFonts w:eastAsiaTheme="majorEastAsia"/>
          </w:rPr>
          <w:t>Codul</w:t>
        </w:r>
        <w:proofErr w:type="spellEnd"/>
        <w:r>
          <w:rPr>
            <w:rStyle w:val="Hyperlink"/>
            <w:rFonts w:eastAsiaTheme="majorEastAsia"/>
          </w:rPr>
          <w:t xml:space="preserve"> civil, </w:t>
        </w:r>
        <w:proofErr w:type="spellStart"/>
        <w:r>
          <w:rPr>
            <w:rStyle w:val="Hyperlink"/>
            <w:rFonts w:eastAsiaTheme="majorEastAsia"/>
          </w:rPr>
          <w:t>republicată</w:t>
        </w:r>
        <w:proofErr w:type="spellEnd"/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14:paraId="6930971B" w14:textId="77777777" w:rsidR="009C6159" w:rsidRDefault="009C6159" w:rsidP="009C6159">
      <w:pPr>
        <w:pStyle w:val="NormalWeb"/>
      </w:pPr>
      <w:proofErr w:type="spellStart"/>
      <w:r>
        <w:rPr>
          <w:rStyle w:val="Robust"/>
          <w:rFonts w:eastAsiaTheme="majorEastAsia"/>
        </w:rPr>
        <w:t>Locuință</w:t>
      </w:r>
      <w:proofErr w:type="spellEnd"/>
      <w:r>
        <w:rPr>
          <w:rStyle w:val="Robust"/>
          <w:rFonts w:eastAsiaTheme="majorEastAsia"/>
        </w:rPr>
        <w:t xml:space="preserve"> de </w:t>
      </w:r>
      <w:proofErr w:type="spellStart"/>
      <w:r>
        <w:rPr>
          <w:rStyle w:val="Robust"/>
          <w:rFonts w:eastAsiaTheme="majorEastAsia"/>
        </w:rPr>
        <w:t>domiciliu</w:t>
      </w:r>
      <w:proofErr w:type="spellEnd"/>
      <w:r>
        <w:rPr>
          <w:rStyle w:val="Robust"/>
          <w:rFonts w:eastAsiaTheme="majorEastAsia"/>
        </w:rPr>
        <w:t xml:space="preserve"> </w:t>
      </w:r>
      <w:proofErr w:type="spellStart"/>
      <w:r>
        <w:rPr>
          <w:rStyle w:val="Robust"/>
          <w:rFonts w:eastAsiaTheme="majorEastAsia"/>
        </w:rPr>
        <w:t>sau</w:t>
      </w:r>
      <w:proofErr w:type="spellEnd"/>
      <w:r>
        <w:rPr>
          <w:rStyle w:val="Robust"/>
          <w:rFonts w:eastAsiaTheme="majorEastAsia"/>
        </w:rPr>
        <w:t xml:space="preserve"> de </w:t>
      </w:r>
      <w:proofErr w:type="spellStart"/>
      <w:r>
        <w:rPr>
          <w:rStyle w:val="Robust"/>
          <w:rFonts w:eastAsiaTheme="majorEastAsia"/>
        </w:rPr>
        <w:t>reședință</w:t>
      </w:r>
      <w:proofErr w:type="spellEnd"/>
      <w:r>
        <w:t xml:space="preserve"> – </w:t>
      </w:r>
      <w:proofErr w:type="spellStart"/>
      <w:r>
        <w:t>construcția</w:t>
      </w:r>
      <w:proofErr w:type="spellEnd"/>
      <w:r>
        <w:t xml:space="preserve"> cu </w:t>
      </w:r>
      <w:proofErr w:type="spellStart"/>
      <w:r>
        <w:t>destinația</w:t>
      </w:r>
      <w:proofErr w:type="spellEnd"/>
      <w:r>
        <w:t xml:space="preserve"> de </w:t>
      </w:r>
      <w:proofErr w:type="spellStart"/>
      <w:r>
        <w:t>locuință</w:t>
      </w:r>
      <w:proofErr w:type="spellEnd"/>
      <w:r>
        <w:t xml:space="preserve"> </w:t>
      </w:r>
      <w:proofErr w:type="spellStart"/>
      <w:r>
        <w:t>aflată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proprietatea</w:t>
      </w:r>
      <w:proofErr w:type="spellEnd"/>
      <w:r>
        <w:t xml:space="preserve"> </w:t>
      </w:r>
      <w:proofErr w:type="spellStart"/>
      <w:r>
        <w:t>titularului</w:t>
      </w:r>
      <w:proofErr w:type="spellEnd"/>
      <w:r>
        <w:t xml:space="preserve"> </w:t>
      </w:r>
      <w:proofErr w:type="spellStart"/>
      <w:r>
        <w:t>ajutorului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închiriată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căreia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exercită</w:t>
      </w:r>
      <w:proofErr w:type="spellEnd"/>
      <w:r>
        <w:t xml:space="preserve"> un </w:t>
      </w:r>
      <w:proofErr w:type="spellStart"/>
      <w:r>
        <w:t>drept</w:t>
      </w:r>
      <w:proofErr w:type="spellEnd"/>
      <w:r>
        <w:t xml:space="preserve"> de </w:t>
      </w:r>
      <w:proofErr w:type="spellStart"/>
      <w:r>
        <w:t>folosință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, </w:t>
      </w:r>
      <w:proofErr w:type="spellStart"/>
      <w:r>
        <w:t>situată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înscrisă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actele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ale </w:t>
      </w:r>
      <w:proofErr w:type="spellStart"/>
      <w:r>
        <w:t>membrilor</w:t>
      </w:r>
      <w:proofErr w:type="spellEnd"/>
      <w:r>
        <w:t xml:space="preserve"> de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la care </w:t>
      </w:r>
      <w:proofErr w:type="spellStart"/>
      <w:r>
        <w:t>persoanele</w:t>
      </w:r>
      <w:proofErr w:type="spellEnd"/>
      <w:r>
        <w:t xml:space="preserve"> sunt </w:t>
      </w:r>
      <w:proofErr w:type="spellStart"/>
      <w:r>
        <w:t>înscrise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de </w:t>
      </w:r>
      <w:proofErr w:type="spellStart"/>
      <w:r>
        <w:t>imobil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sunt </w:t>
      </w:r>
      <w:proofErr w:type="spellStart"/>
      <w:r>
        <w:t>luate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calcul</w:t>
      </w:r>
      <w:proofErr w:type="spellEnd"/>
      <w:r>
        <w:t xml:space="preserve"> la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cheltuielilor</w:t>
      </w:r>
      <w:proofErr w:type="spellEnd"/>
      <w:r>
        <w:t xml:space="preserve"> de </w:t>
      </w:r>
      <w:proofErr w:type="spellStart"/>
      <w:r>
        <w:t>întreținere</w:t>
      </w:r>
      <w:proofErr w:type="spellEnd"/>
      <w:r>
        <w:t xml:space="preserve"> a </w:t>
      </w:r>
      <w:proofErr w:type="spellStart"/>
      <w:r>
        <w:t>locuinței</w:t>
      </w:r>
      <w:proofErr w:type="spellEnd"/>
      <w:r>
        <w:t xml:space="preserve">. Se </w:t>
      </w:r>
      <w:proofErr w:type="spellStart"/>
      <w:r>
        <w:t>asimilează</w:t>
      </w:r>
      <w:proofErr w:type="spellEnd"/>
      <w:r>
        <w:t xml:space="preserve"> </w:t>
      </w:r>
      <w:proofErr w:type="spellStart"/>
      <w:r>
        <w:t>locuinței</w:t>
      </w:r>
      <w:proofErr w:type="spellEnd"/>
      <w:r>
        <w:t xml:space="preserve"> de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reședință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locuința</w:t>
      </w:r>
      <w:proofErr w:type="spellEnd"/>
      <w:r>
        <w:t xml:space="preserve"> de </w:t>
      </w:r>
      <w:proofErr w:type="spellStart"/>
      <w:r>
        <w:t>necesitate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locuința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cum sunt </w:t>
      </w:r>
      <w:proofErr w:type="spellStart"/>
      <w:r>
        <w:t>acestea</w:t>
      </w:r>
      <w:proofErr w:type="spellEnd"/>
      <w:r>
        <w:t xml:space="preserve"> definite </w:t>
      </w:r>
      <w:proofErr w:type="spellStart"/>
      <w:r>
        <w:lastRenderedPageBreak/>
        <w:t>potrivit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> </w:t>
      </w:r>
      <w:proofErr w:type="spellStart"/>
      <w:r>
        <w:fldChar w:fldCharType="begin"/>
      </w:r>
      <w:r>
        <w:instrText>HYPERLINK "http://legislatie.just.ro/Public/DetaliiDocumentAfis/189810"</w:instrText>
      </w:r>
      <w:r>
        <w:fldChar w:fldCharType="separate"/>
      </w:r>
      <w:r>
        <w:rPr>
          <w:rStyle w:val="Hyperlink"/>
          <w:rFonts w:eastAsiaTheme="majorEastAsia"/>
        </w:rPr>
        <w:t>Legii</w:t>
      </w:r>
      <w:proofErr w:type="spellEnd"/>
      <w:r>
        <w:rPr>
          <w:rStyle w:val="Hyperlink"/>
          <w:rFonts w:eastAsiaTheme="majorEastAsia"/>
        </w:rPr>
        <w:t xml:space="preserve"> </w:t>
      </w:r>
      <w:proofErr w:type="spellStart"/>
      <w:r>
        <w:rPr>
          <w:rStyle w:val="Hyperlink"/>
          <w:rFonts w:eastAsiaTheme="majorEastAsia"/>
        </w:rPr>
        <w:t>locuinței</w:t>
      </w:r>
      <w:proofErr w:type="spellEnd"/>
      <w:r>
        <w:rPr>
          <w:rStyle w:val="Hyperlink"/>
          <w:rFonts w:eastAsiaTheme="majorEastAsia"/>
        </w:rPr>
        <w:t xml:space="preserve"> nr. 114/1996, </w:t>
      </w:r>
      <w:proofErr w:type="spellStart"/>
      <w:r>
        <w:rPr>
          <w:rStyle w:val="Hyperlink"/>
          <w:rFonts w:eastAsiaTheme="majorEastAsia"/>
        </w:rPr>
        <w:t>republicată</w:t>
      </w:r>
      <w:proofErr w:type="spellEnd"/>
      <w:r>
        <w:fldChar w:fldCharType="end"/>
      </w:r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locuințele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așezări</w:t>
      </w:r>
      <w:proofErr w:type="spellEnd"/>
      <w:r>
        <w:t xml:space="preserve"> </w:t>
      </w:r>
      <w:proofErr w:type="spellStart"/>
      <w:r>
        <w:t>informale</w:t>
      </w:r>
      <w:proofErr w:type="spellEnd"/>
      <w:r>
        <w:t xml:space="preserve">. Nu se </w:t>
      </w:r>
      <w:proofErr w:type="spellStart"/>
      <w:r>
        <w:t>consideră</w:t>
      </w:r>
      <w:proofErr w:type="spellEnd"/>
      <w:r>
        <w:t xml:space="preserve"> </w:t>
      </w:r>
      <w:proofErr w:type="spellStart"/>
      <w:r>
        <w:t>locuință</w:t>
      </w:r>
      <w:proofErr w:type="spellEnd"/>
      <w:r>
        <w:t xml:space="preserve"> </w:t>
      </w:r>
      <w:proofErr w:type="spellStart"/>
      <w:r>
        <w:t>instituțiile</w:t>
      </w:r>
      <w:proofErr w:type="spellEnd"/>
      <w:r>
        <w:t xml:space="preserve"> de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așezăminte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social,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înființate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administrate de </w:t>
      </w:r>
      <w:proofErr w:type="spellStart"/>
      <w:r>
        <w:t>cultele</w:t>
      </w:r>
      <w:proofErr w:type="spellEnd"/>
      <w:r>
        <w:t xml:space="preserve"> </w:t>
      </w:r>
      <w:proofErr w:type="spellStart"/>
      <w:r>
        <w:t>religioase</w:t>
      </w:r>
      <w:proofErr w:type="spellEnd"/>
      <w:r>
        <w:t xml:space="preserve">, </w:t>
      </w:r>
      <w:proofErr w:type="spellStart"/>
      <w:r>
        <w:t>asociațiile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grupurile</w:t>
      </w:r>
      <w:proofErr w:type="spellEnd"/>
      <w:r>
        <w:t xml:space="preserve"> </w:t>
      </w:r>
      <w:proofErr w:type="spellStart"/>
      <w:r>
        <w:t>religioase</w:t>
      </w:r>
      <w:proofErr w:type="spellEnd"/>
      <w:r>
        <w:t>.</w:t>
      </w:r>
    </w:p>
    <w:p w14:paraId="0821CA3E" w14:textId="77777777" w:rsidR="009C6159" w:rsidRDefault="009C6159" w:rsidP="009C6159">
      <w:pPr>
        <w:pStyle w:val="NormalWeb"/>
      </w:pPr>
      <w:r>
        <w:rPr>
          <w:rStyle w:val="Robust"/>
          <w:rFonts w:eastAsiaTheme="majorEastAsia"/>
        </w:rPr>
        <w:t xml:space="preserve">Titular al </w:t>
      </w:r>
      <w:proofErr w:type="spellStart"/>
      <w:r>
        <w:rPr>
          <w:rStyle w:val="Robust"/>
          <w:rFonts w:eastAsiaTheme="majorEastAsia"/>
        </w:rPr>
        <w:t>ajutorului</w:t>
      </w:r>
      <w:proofErr w:type="spellEnd"/>
      <w:r>
        <w:rPr>
          <w:rStyle w:val="Robust"/>
          <w:rFonts w:eastAsiaTheme="majorEastAsia"/>
        </w:rPr>
        <w:t xml:space="preserve"> </w:t>
      </w:r>
      <w:r>
        <w:t xml:space="preserve">– </w:t>
      </w:r>
      <w:proofErr w:type="spellStart"/>
      <w:r>
        <w:t>reprezentantul</w:t>
      </w:r>
      <w:proofErr w:type="spellEnd"/>
      <w:r>
        <w:t xml:space="preserve"> </w:t>
      </w:r>
      <w:proofErr w:type="spellStart"/>
      <w:r>
        <w:t>familiei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singură</w:t>
      </w:r>
      <w:proofErr w:type="spellEnd"/>
      <w:r>
        <w:t xml:space="preserve"> care </w:t>
      </w:r>
      <w:proofErr w:type="spellStart"/>
      <w:r>
        <w:t>îndeplinește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de </w:t>
      </w:r>
      <w:proofErr w:type="spellStart"/>
      <w:r>
        <w:t>acordare</w:t>
      </w:r>
      <w:proofErr w:type="spellEnd"/>
      <w:r>
        <w:t xml:space="preserve">,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: </w:t>
      </w:r>
      <w:proofErr w:type="spellStart"/>
      <w:r>
        <w:t>proprietarul</w:t>
      </w:r>
      <w:proofErr w:type="spellEnd"/>
      <w:r>
        <w:t xml:space="preserve"> </w:t>
      </w:r>
      <w:proofErr w:type="spellStart"/>
      <w:r>
        <w:t>locuinței</w:t>
      </w:r>
      <w:proofErr w:type="spellEnd"/>
      <w:r>
        <w:t xml:space="preserve">, </w:t>
      </w:r>
      <w:proofErr w:type="spellStart"/>
      <w:r>
        <w:t>succesorul</w:t>
      </w:r>
      <w:proofErr w:type="spellEnd"/>
      <w:r>
        <w:t xml:space="preserve"> de </w:t>
      </w:r>
      <w:proofErr w:type="spellStart"/>
      <w:r>
        <w:t>drept</w:t>
      </w:r>
      <w:proofErr w:type="spellEnd"/>
      <w:r>
        <w:t xml:space="preserve"> al </w:t>
      </w:r>
      <w:proofErr w:type="spellStart"/>
      <w:r>
        <w:t>acestuia</w:t>
      </w:r>
      <w:proofErr w:type="spellEnd"/>
      <w:r>
        <w:t xml:space="preserve">, </w:t>
      </w:r>
      <w:proofErr w:type="spellStart"/>
      <w:r>
        <w:t>persoana</w:t>
      </w:r>
      <w:proofErr w:type="spellEnd"/>
      <w:r>
        <w:t xml:space="preserve"> care a </w:t>
      </w:r>
      <w:proofErr w:type="spellStart"/>
      <w:r>
        <w:t>înstrăinat</w:t>
      </w:r>
      <w:proofErr w:type="spellEnd"/>
      <w:r>
        <w:t xml:space="preserve"> </w:t>
      </w:r>
      <w:proofErr w:type="spellStart"/>
      <w:r>
        <w:t>locuința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contract cu </w:t>
      </w:r>
      <w:proofErr w:type="spellStart"/>
      <w:r>
        <w:t>clauză</w:t>
      </w:r>
      <w:proofErr w:type="spellEnd"/>
      <w:r>
        <w:t xml:space="preserve"> de </w:t>
      </w:r>
      <w:proofErr w:type="spellStart"/>
      <w:r>
        <w:t>întreținere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cu </w:t>
      </w:r>
      <w:proofErr w:type="spellStart"/>
      <w:r>
        <w:t>rezerva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de </w:t>
      </w:r>
      <w:proofErr w:type="spellStart"/>
      <w:r>
        <w:t>abitație</w:t>
      </w:r>
      <w:proofErr w:type="spellEnd"/>
      <w:r>
        <w:t>/</w:t>
      </w:r>
      <w:proofErr w:type="spellStart"/>
      <w:r>
        <w:t>uzufruct</w:t>
      </w:r>
      <w:proofErr w:type="spellEnd"/>
      <w:r>
        <w:t xml:space="preserve">, </w:t>
      </w:r>
      <w:proofErr w:type="spellStart"/>
      <w:r>
        <w:rPr>
          <w:u w:val="single"/>
        </w:rPr>
        <w:t>titularul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contractului</w:t>
      </w:r>
      <w:proofErr w:type="spellEnd"/>
      <w:r>
        <w:rPr>
          <w:u w:val="single"/>
        </w:rPr>
        <w:t xml:space="preserve"> de </w:t>
      </w:r>
      <w:proofErr w:type="spellStart"/>
      <w:r>
        <w:rPr>
          <w:u w:val="single"/>
        </w:rPr>
        <w:t>închiriere</w:t>
      </w:r>
      <w:proofErr w:type="spellEnd"/>
      <w:r>
        <w:rPr>
          <w:u w:val="single"/>
        </w:rPr>
        <w:t>,</w:t>
      </w:r>
      <w:r>
        <w:t xml:space="preserve"> </w:t>
      </w:r>
      <w:proofErr w:type="spellStart"/>
      <w:r>
        <w:t>comodat</w:t>
      </w:r>
      <w:proofErr w:type="spellEnd"/>
      <w:r>
        <w:t xml:space="preserve">, </w:t>
      </w:r>
      <w:proofErr w:type="spellStart"/>
      <w:r>
        <w:t>concesiune</w:t>
      </w:r>
      <w:proofErr w:type="spellEnd"/>
      <w:r>
        <w:t xml:space="preserve"> al </w:t>
      </w:r>
      <w:proofErr w:type="spellStart"/>
      <w:r>
        <w:t>acesteia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alt </w:t>
      </w:r>
      <w:proofErr w:type="spellStart"/>
      <w:r>
        <w:t>membru</w:t>
      </w:r>
      <w:proofErr w:type="spellEnd"/>
      <w:r>
        <w:t xml:space="preserve"> de </w:t>
      </w:r>
      <w:proofErr w:type="spellStart"/>
      <w:r>
        <w:t>familie</w:t>
      </w:r>
      <w:proofErr w:type="spellEnd"/>
      <w:r>
        <w:t xml:space="preserve"> major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împuternicit</w:t>
      </w:r>
      <w:proofErr w:type="spellEnd"/>
      <w:r>
        <w:t xml:space="preserve"> de </w:t>
      </w:r>
      <w:proofErr w:type="spellStart"/>
      <w:r>
        <w:t>proprietarul</w:t>
      </w:r>
      <w:proofErr w:type="spellEnd"/>
      <w:r>
        <w:t xml:space="preserve"> </w:t>
      </w:r>
      <w:proofErr w:type="spellStart"/>
      <w:r>
        <w:t>locuinței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titularul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închiriere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reprezentantul</w:t>
      </w:r>
      <w:proofErr w:type="spellEnd"/>
      <w:r>
        <w:t xml:space="preserve"> legal al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singure</w:t>
      </w:r>
      <w:proofErr w:type="spellEnd"/>
      <w:r>
        <w:t xml:space="preserve"> care nu a </w:t>
      </w:r>
      <w:proofErr w:type="spellStart"/>
      <w:r>
        <w:t>împlinit</w:t>
      </w:r>
      <w:proofErr w:type="spellEnd"/>
      <w:r>
        <w:t xml:space="preserve"> </w:t>
      </w:r>
      <w:proofErr w:type="spellStart"/>
      <w:r>
        <w:t>vârsta</w:t>
      </w:r>
      <w:proofErr w:type="spellEnd"/>
      <w:r>
        <w:t xml:space="preserve"> de 16 ani </w:t>
      </w:r>
      <w:proofErr w:type="spellStart"/>
      <w:r>
        <w:t>sau</w:t>
      </w:r>
      <w:proofErr w:type="spellEnd"/>
      <w:r>
        <w:t xml:space="preserve"> al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 </w:t>
      </w:r>
      <w:hyperlink r:id="rId6" w:history="1">
        <w:r>
          <w:rPr>
            <w:rStyle w:val="Hyperlink"/>
            <w:rFonts w:eastAsiaTheme="majorEastAsia"/>
          </w:rPr>
          <w:t xml:space="preserve">art. 43 </w:t>
        </w:r>
        <w:proofErr w:type="spellStart"/>
        <w:r>
          <w:rPr>
            <w:rStyle w:val="Hyperlink"/>
            <w:rFonts w:eastAsiaTheme="majorEastAsia"/>
          </w:rPr>
          <w:t>alin</w:t>
        </w:r>
        <w:proofErr w:type="spellEnd"/>
        <w:r>
          <w:rPr>
            <w:rStyle w:val="Hyperlink"/>
            <w:rFonts w:eastAsiaTheme="majorEastAsia"/>
          </w:rPr>
          <w:t>. (1) lit. b)</w:t>
        </w:r>
      </w:hyperlink>
      <w:r>
        <w:t> </w:t>
      </w:r>
      <w:proofErr w:type="spellStart"/>
      <w:r>
        <w:t>și</w:t>
      </w:r>
      <w:proofErr w:type="spellEnd"/>
      <w:r>
        <w:t> </w:t>
      </w:r>
      <w:hyperlink r:id="rId7" w:history="1">
        <w:r>
          <w:rPr>
            <w:rStyle w:val="Hyperlink"/>
            <w:rFonts w:eastAsiaTheme="majorEastAsia"/>
          </w:rPr>
          <w:t>art. 178 lit. a)</w:t>
        </w:r>
      </w:hyperlink>
      <w:r>
        <w:t> </w:t>
      </w:r>
      <w:proofErr w:type="spellStart"/>
      <w:r>
        <w:t>și</w:t>
      </w:r>
      <w:proofErr w:type="spellEnd"/>
      <w:r>
        <w:t> </w:t>
      </w:r>
      <w:hyperlink r:id="rId8" w:history="1">
        <w:r>
          <w:rPr>
            <w:rStyle w:val="Hyperlink"/>
            <w:rFonts w:eastAsiaTheme="majorEastAsia"/>
          </w:rPr>
          <w:t xml:space="preserve">b) din </w:t>
        </w:r>
        <w:proofErr w:type="spellStart"/>
        <w:r>
          <w:rPr>
            <w:rStyle w:val="Hyperlink"/>
            <w:rFonts w:eastAsiaTheme="majorEastAsia"/>
          </w:rPr>
          <w:t>Legea</w:t>
        </w:r>
        <w:proofErr w:type="spellEnd"/>
        <w:r>
          <w:rPr>
            <w:rStyle w:val="Hyperlink"/>
            <w:rFonts w:eastAsiaTheme="majorEastAsia"/>
          </w:rPr>
          <w:t xml:space="preserve">    nr. 287/2009, </w:t>
        </w:r>
        <w:proofErr w:type="spellStart"/>
        <w:r>
          <w:rPr>
            <w:rStyle w:val="Hyperlink"/>
            <w:rFonts w:eastAsiaTheme="majorEastAsia"/>
          </w:rPr>
          <w:t>republicată</w:t>
        </w:r>
        <w:proofErr w:type="spellEnd"/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14:paraId="1358616D" w14:textId="77777777" w:rsidR="009C6159" w:rsidRDefault="009C6159" w:rsidP="009C6159">
      <w:pPr>
        <w:pStyle w:val="NormalWeb"/>
      </w:pPr>
      <w:proofErr w:type="spellStart"/>
      <w:r>
        <w:rPr>
          <w:rStyle w:val="Robust"/>
          <w:rFonts w:eastAsiaTheme="majorEastAsia"/>
        </w:rPr>
        <w:t>Ajutor</w:t>
      </w:r>
      <w:proofErr w:type="spellEnd"/>
      <w:r>
        <w:rPr>
          <w:rStyle w:val="Robust"/>
          <w:rFonts w:eastAsiaTheme="majorEastAsia"/>
        </w:rPr>
        <w:t xml:space="preserve"> </w:t>
      </w:r>
      <w:proofErr w:type="spellStart"/>
      <w:r>
        <w:rPr>
          <w:rStyle w:val="Robust"/>
          <w:rFonts w:eastAsiaTheme="majorEastAsia"/>
        </w:rPr>
        <w:t>pentru</w:t>
      </w:r>
      <w:proofErr w:type="spellEnd"/>
      <w:r>
        <w:rPr>
          <w:rStyle w:val="Robust"/>
          <w:rFonts w:eastAsiaTheme="majorEastAsia"/>
        </w:rPr>
        <w:t xml:space="preserve"> </w:t>
      </w:r>
      <w:proofErr w:type="spellStart"/>
      <w:r>
        <w:rPr>
          <w:rStyle w:val="Robust"/>
          <w:rFonts w:eastAsiaTheme="majorEastAsia"/>
        </w:rPr>
        <w:t>încălzirea</w:t>
      </w:r>
      <w:proofErr w:type="spellEnd"/>
      <w:r>
        <w:rPr>
          <w:rStyle w:val="Robust"/>
          <w:rFonts w:eastAsiaTheme="majorEastAsia"/>
        </w:rPr>
        <w:t xml:space="preserve"> </w:t>
      </w:r>
      <w:proofErr w:type="spellStart"/>
      <w:r>
        <w:rPr>
          <w:rStyle w:val="Robust"/>
          <w:rFonts w:eastAsiaTheme="majorEastAsia"/>
        </w:rPr>
        <w:t>locuinței</w:t>
      </w:r>
      <w:proofErr w:type="spellEnd"/>
      <w:r>
        <w:t xml:space="preserve"> – </w:t>
      </w:r>
      <w:proofErr w:type="spellStart"/>
      <w:r>
        <w:t>măsură</w:t>
      </w:r>
      <w:proofErr w:type="spellEnd"/>
      <w:r>
        <w:t xml:space="preserve"> care are </w:t>
      </w:r>
      <w:proofErr w:type="spellStart"/>
      <w:r>
        <w:t>drept</w:t>
      </w:r>
      <w:proofErr w:type="spellEnd"/>
      <w:r>
        <w:t xml:space="preserve"> scop </w:t>
      </w:r>
      <w:proofErr w:type="spellStart"/>
      <w:r>
        <w:t>sprijinul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proofErr w:type="spellStart"/>
      <w:r>
        <w:t>suportată</w:t>
      </w:r>
      <w:proofErr w:type="spellEnd"/>
      <w:r>
        <w:t xml:space="preserve"> din </w:t>
      </w:r>
      <w:proofErr w:type="spellStart"/>
      <w:r>
        <w:t>bugetul</w:t>
      </w:r>
      <w:proofErr w:type="spellEnd"/>
      <w:r>
        <w:t xml:space="preserve"> de stat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din </w:t>
      </w:r>
      <w:proofErr w:type="spellStart"/>
      <w:r>
        <w:t>bugetele</w:t>
      </w:r>
      <w:proofErr w:type="spellEnd"/>
      <w:r>
        <w:t xml:space="preserve"> locale, </w:t>
      </w:r>
      <w:proofErr w:type="spellStart"/>
      <w:r>
        <w:t>destinată</w:t>
      </w:r>
      <w:proofErr w:type="spellEnd"/>
      <w:r>
        <w:t xml:space="preserve"> </w:t>
      </w:r>
      <w:proofErr w:type="spellStart"/>
      <w:r>
        <w:t>consumatorilor</w:t>
      </w:r>
      <w:proofErr w:type="spellEnd"/>
      <w:r>
        <w:t xml:space="preserve"> </w:t>
      </w:r>
      <w:proofErr w:type="spellStart"/>
      <w:r>
        <w:t>vulnerabili</w:t>
      </w:r>
      <w:proofErr w:type="spellEnd"/>
      <w:r>
        <w:t xml:space="preserve">, care are </w:t>
      </w:r>
      <w:proofErr w:type="spellStart"/>
      <w:r>
        <w:t>drept</w:t>
      </w:r>
      <w:proofErr w:type="spellEnd"/>
      <w:r>
        <w:t xml:space="preserve"> scop </w:t>
      </w:r>
      <w:proofErr w:type="spellStart"/>
      <w:r>
        <w:t>acoperirea</w:t>
      </w:r>
      <w:proofErr w:type="spellEnd"/>
      <w:r>
        <w:t xml:space="preserve"> </w:t>
      </w:r>
      <w:proofErr w:type="spellStart"/>
      <w:r>
        <w:t>integrală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părți</w:t>
      </w:r>
      <w:proofErr w:type="spellEnd"/>
      <w:r>
        <w:t xml:space="preserve"> din </w:t>
      </w:r>
      <w:proofErr w:type="spellStart"/>
      <w:r>
        <w:t>cheltuielile</w:t>
      </w:r>
      <w:proofErr w:type="spellEnd"/>
      <w:r>
        <w:t xml:space="preserve"> cu </w:t>
      </w:r>
      <w:proofErr w:type="spellStart"/>
      <w:r>
        <w:t>încălzirea</w:t>
      </w:r>
      <w:proofErr w:type="spellEnd"/>
      <w:r>
        <w:t xml:space="preserve"> </w:t>
      </w:r>
      <w:proofErr w:type="spellStart"/>
      <w:r>
        <w:t>locuinței</w:t>
      </w:r>
      <w:proofErr w:type="spellEnd"/>
      <w:r>
        <w:t xml:space="preserve">. </w:t>
      </w:r>
      <w:proofErr w:type="spellStart"/>
      <w:r>
        <w:t>Ajutorul</w:t>
      </w:r>
      <w:proofErr w:type="spellEnd"/>
      <w:r>
        <w:t xml:space="preserve"> se </w:t>
      </w:r>
      <w:proofErr w:type="spellStart"/>
      <w:r>
        <w:t>acordă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consumatorii</w:t>
      </w:r>
      <w:proofErr w:type="spellEnd"/>
      <w:r>
        <w:t xml:space="preserve"> </w:t>
      </w:r>
      <w:proofErr w:type="spellStart"/>
      <w:r>
        <w:t>vulnerabili</w:t>
      </w:r>
      <w:proofErr w:type="spellEnd"/>
      <w:r>
        <w:t xml:space="preserve"> de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termică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centralizat</w:t>
      </w:r>
      <w:proofErr w:type="spellEnd"/>
      <w:r>
        <w:t xml:space="preserve">,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electrică</w:t>
      </w:r>
      <w:proofErr w:type="spellEnd"/>
      <w:r>
        <w:t xml:space="preserve">, gaze </w:t>
      </w:r>
      <w:proofErr w:type="spellStart"/>
      <w:r>
        <w:t>naturale</w:t>
      </w:r>
      <w:proofErr w:type="spellEnd"/>
      <w:r>
        <w:t xml:space="preserve">, </w:t>
      </w:r>
      <w:proofErr w:type="spellStart"/>
      <w:r>
        <w:t>combustibili</w:t>
      </w:r>
      <w:proofErr w:type="spellEnd"/>
      <w:r>
        <w:t xml:space="preserve"> </w:t>
      </w:r>
      <w:proofErr w:type="spellStart"/>
      <w:r>
        <w:t>solizi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petrolieri</w:t>
      </w:r>
      <w:proofErr w:type="spellEnd"/>
      <w:r>
        <w:t xml:space="preserve">. </w:t>
      </w:r>
      <w:proofErr w:type="spellStart"/>
      <w:r>
        <w:t>Acesta</w:t>
      </w:r>
      <w:proofErr w:type="spellEnd"/>
      <w:r>
        <w:t xml:space="preserve"> se </w:t>
      </w:r>
      <w:proofErr w:type="spellStart"/>
      <w:r>
        <w:t>acordă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un </w:t>
      </w:r>
      <w:proofErr w:type="spellStart"/>
      <w:r>
        <w:t>singur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de </w:t>
      </w:r>
      <w:proofErr w:type="spellStart"/>
      <w:r>
        <w:t>încălzire</w:t>
      </w:r>
      <w:proofErr w:type="spellEnd"/>
      <w:r>
        <w:t xml:space="preserve">,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cel principal </w:t>
      </w:r>
      <w:proofErr w:type="spellStart"/>
      <w:r>
        <w:t>utilizat</w:t>
      </w:r>
      <w:proofErr w:type="spellEnd"/>
      <w:r>
        <w:t>.</w:t>
      </w:r>
    </w:p>
    <w:p w14:paraId="409E4F37" w14:textId="77777777" w:rsidR="009C6159" w:rsidRDefault="009C6159" w:rsidP="009C6159">
      <w:pPr>
        <w:pStyle w:val="NormalWeb"/>
      </w:pPr>
      <w:r>
        <w:rPr>
          <w:rStyle w:val="Robust"/>
          <w:rFonts w:eastAsiaTheme="majorEastAsia"/>
        </w:rPr>
        <w:t xml:space="preserve">         </w:t>
      </w:r>
      <w:proofErr w:type="spellStart"/>
      <w:r>
        <w:rPr>
          <w:rStyle w:val="Robust"/>
          <w:rFonts w:eastAsiaTheme="majorEastAsia"/>
        </w:rPr>
        <w:t>Supliment</w:t>
      </w:r>
      <w:proofErr w:type="spellEnd"/>
      <w:r>
        <w:rPr>
          <w:rStyle w:val="Robust"/>
          <w:rFonts w:eastAsiaTheme="majorEastAsia"/>
        </w:rPr>
        <w:t xml:space="preserve"> </w:t>
      </w:r>
      <w:proofErr w:type="spellStart"/>
      <w:r>
        <w:rPr>
          <w:rStyle w:val="Robust"/>
          <w:rFonts w:eastAsiaTheme="majorEastAsia"/>
        </w:rPr>
        <w:t>pentru</w:t>
      </w:r>
      <w:proofErr w:type="spellEnd"/>
      <w:r>
        <w:rPr>
          <w:rStyle w:val="Robust"/>
          <w:rFonts w:eastAsiaTheme="majorEastAsia"/>
        </w:rPr>
        <w:t xml:space="preserve"> </w:t>
      </w:r>
      <w:proofErr w:type="spellStart"/>
      <w:r>
        <w:rPr>
          <w:rStyle w:val="Robust"/>
          <w:rFonts w:eastAsiaTheme="majorEastAsia"/>
        </w:rPr>
        <w:t>energie</w:t>
      </w:r>
      <w:proofErr w:type="spellEnd"/>
      <w:r>
        <w:t xml:space="preserve"> – </w:t>
      </w:r>
      <w:proofErr w:type="spellStart"/>
      <w:r>
        <w:t>măsura</w:t>
      </w:r>
      <w:proofErr w:type="spellEnd"/>
      <w:r>
        <w:t xml:space="preserve"> care are </w:t>
      </w:r>
      <w:proofErr w:type="spellStart"/>
      <w:r>
        <w:t>drept</w:t>
      </w:r>
      <w:proofErr w:type="spellEnd"/>
      <w:r>
        <w:t xml:space="preserve"> scop </w:t>
      </w:r>
      <w:proofErr w:type="spellStart"/>
      <w:r>
        <w:t>sprijinul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proofErr w:type="spellStart"/>
      <w:r>
        <w:t>suportată</w:t>
      </w:r>
      <w:proofErr w:type="spellEnd"/>
      <w:r>
        <w:t xml:space="preserve"> din </w:t>
      </w:r>
      <w:proofErr w:type="spellStart"/>
      <w:r>
        <w:t>bugetul</w:t>
      </w:r>
      <w:proofErr w:type="spellEnd"/>
      <w:r>
        <w:t xml:space="preserve"> de stat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din </w:t>
      </w:r>
      <w:proofErr w:type="spellStart"/>
      <w:r>
        <w:t>bugetele</w:t>
      </w:r>
      <w:proofErr w:type="spellEnd"/>
      <w:r>
        <w:t xml:space="preserve"> locale, </w:t>
      </w:r>
      <w:proofErr w:type="spellStart"/>
      <w:r>
        <w:t>destinată</w:t>
      </w:r>
      <w:proofErr w:type="spellEnd"/>
      <w:r>
        <w:t xml:space="preserve"> </w:t>
      </w:r>
      <w:proofErr w:type="spellStart"/>
      <w:r>
        <w:t>consumatorilor</w:t>
      </w:r>
      <w:proofErr w:type="spellEnd"/>
      <w:r>
        <w:t xml:space="preserve"> </w:t>
      </w:r>
      <w:proofErr w:type="spellStart"/>
      <w:r>
        <w:t>vulnerabili</w:t>
      </w:r>
      <w:proofErr w:type="spellEnd"/>
      <w:r>
        <w:t xml:space="preserve">, care are </w:t>
      </w:r>
      <w:proofErr w:type="spellStart"/>
      <w:r>
        <w:t>drept</w:t>
      </w:r>
      <w:proofErr w:type="spellEnd"/>
      <w:r>
        <w:t xml:space="preserve"> scop </w:t>
      </w:r>
      <w:proofErr w:type="spellStart"/>
      <w:r>
        <w:t>acoperirea</w:t>
      </w:r>
      <w:proofErr w:type="spellEnd"/>
      <w:r>
        <w:t xml:space="preserve"> </w:t>
      </w:r>
      <w:proofErr w:type="spellStart"/>
      <w:r>
        <w:t>integrală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părți</w:t>
      </w:r>
      <w:proofErr w:type="spellEnd"/>
      <w:r>
        <w:t xml:space="preserve"> din </w:t>
      </w:r>
      <w:proofErr w:type="spellStart"/>
      <w:r>
        <w:t>cheltuielile</w:t>
      </w:r>
      <w:proofErr w:type="spellEnd"/>
      <w:r>
        <w:t xml:space="preserve"> cu </w:t>
      </w:r>
      <w:proofErr w:type="spellStart"/>
      <w:r>
        <w:t>iluminatul</w:t>
      </w:r>
      <w:proofErr w:type="spellEnd"/>
      <w:r>
        <w:t xml:space="preserve"> </w:t>
      </w:r>
      <w:proofErr w:type="spellStart"/>
      <w:r>
        <w:t>locuinței</w:t>
      </w:r>
      <w:proofErr w:type="spellEnd"/>
      <w:r>
        <w:t xml:space="preserve">, </w:t>
      </w:r>
      <w:proofErr w:type="spellStart"/>
      <w:r>
        <w:t>susținerea</w:t>
      </w:r>
      <w:proofErr w:type="spellEnd"/>
      <w:r>
        <w:t xml:space="preserve"> </w:t>
      </w:r>
      <w:proofErr w:type="spellStart"/>
      <w:r>
        <w:t>facilităților</w:t>
      </w:r>
      <w:proofErr w:type="spellEnd"/>
      <w:r>
        <w:t xml:space="preserve"> de </w:t>
      </w:r>
      <w:proofErr w:type="spellStart"/>
      <w:r>
        <w:t>gătit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apei</w:t>
      </w:r>
      <w:proofErr w:type="spellEnd"/>
      <w:r>
        <w:t xml:space="preserve"> </w:t>
      </w:r>
      <w:proofErr w:type="spellStart"/>
      <w:r>
        <w:t>calde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locuință</w:t>
      </w:r>
      <w:proofErr w:type="spellEnd"/>
      <w:r>
        <w:rPr>
          <w:u w:val="single"/>
        </w:rPr>
        <w:t>,</w:t>
      </w:r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continuității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alimentare</w:t>
      </w:r>
      <w:proofErr w:type="spellEnd"/>
      <w:r>
        <w:t xml:space="preserve"> a </w:t>
      </w:r>
      <w:proofErr w:type="spellStart"/>
      <w:r>
        <w:t>echipamentelor</w:t>
      </w:r>
      <w:proofErr w:type="spellEnd"/>
      <w:r>
        <w:t xml:space="preserve"> </w:t>
      </w:r>
      <w:proofErr w:type="spellStart"/>
      <w:r>
        <w:t>electrice</w:t>
      </w:r>
      <w:proofErr w:type="spellEnd"/>
      <w:r>
        <w:t xml:space="preserve"> de care </w:t>
      </w:r>
      <w:proofErr w:type="spellStart"/>
      <w:r>
        <w:t>depinde</w:t>
      </w:r>
      <w:proofErr w:type="spellEnd"/>
      <w:r>
        <w:t xml:space="preserve"> </w:t>
      </w:r>
      <w:proofErr w:type="spellStart"/>
      <w:r>
        <w:t>viața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, din motive de </w:t>
      </w:r>
      <w:proofErr w:type="spellStart"/>
      <w:r>
        <w:t>sănătate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mijloacelor</w:t>
      </w:r>
      <w:proofErr w:type="spellEnd"/>
      <w:r>
        <w:t xml:space="preserve"> de </w:t>
      </w:r>
      <w:proofErr w:type="spellStart"/>
      <w:r>
        <w:t>comunicare</w:t>
      </w:r>
      <w:proofErr w:type="spellEnd"/>
      <w:r>
        <w:t xml:space="preserve"> care </w:t>
      </w:r>
      <w:proofErr w:type="spellStart"/>
      <w:r>
        <w:t>presupun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de </w:t>
      </w:r>
      <w:proofErr w:type="spellStart"/>
      <w:r>
        <w:t>energie</w:t>
      </w:r>
      <w:proofErr w:type="spellEnd"/>
      <w:r>
        <w:t>.</w:t>
      </w:r>
    </w:p>
    <w:p w14:paraId="164A715F" w14:textId="77777777" w:rsidR="00FC3F5A" w:rsidRPr="00FC3F5A" w:rsidRDefault="00FC3F5A" w:rsidP="00FC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C3F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</w:t>
      </w:r>
    </w:p>
    <w:p w14:paraId="62F2AD73" w14:textId="77777777" w:rsidR="00E86B61" w:rsidRDefault="00E86B61" w:rsidP="00B64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E86B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Ajutorul</w:t>
      </w:r>
      <w:proofErr w:type="spellEnd"/>
      <w:r w:rsidRPr="00E86B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E86B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pentru</w:t>
      </w:r>
      <w:proofErr w:type="spellEnd"/>
      <w:r w:rsidRPr="00E86B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E86B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încălzirea</w:t>
      </w:r>
      <w:proofErr w:type="spellEnd"/>
      <w:r w:rsidRPr="00E86B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E86B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locuinței</w:t>
      </w:r>
      <w:proofErr w:type="spellEnd"/>
      <w:r w:rsidRPr="00E86B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cu </w:t>
      </w:r>
      <w:proofErr w:type="spellStart"/>
      <w:r w:rsidRPr="00E86B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combustibili</w:t>
      </w:r>
      <w:proofErr w:type="spellEnd"/>
      <w:r w:rsidRPr="00E86B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E86B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solizi</w:t>
      </w:r>
      <w:proofErr w:type="spellEnd"/>
      <w:r w:rsidRPr="00E86B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E86B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sau</w:t>
      </w:r>
      <w:proofErr w:type="spellEnd"/>
      <w:r w:rsidRPr="00E86B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E86B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petrolieri</w:t>
      </w:r>
      <w:proofErr w:type="spellEnd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 xml:space="preserve"> se </w:t>
      </w:r>
      <w:proofErr w:type="spellStart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>acordă</w:t>
      </w:r>
      <w:proofErr w:type="spellEnd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>familiilor</w:t>
      </w:r>
      <w:proofErr w:type="spellEnd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>și</w:t>
      </w:r>
      <w:proofErr w:type="spellEnd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>persoanelor</w:t>
      </w:r>
      <w:proofErr w:type="spellEnd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>singure</w:t>
      </w:r>
      <w:proofErr w:type="spellEnd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 xml:space="preserve"> care se </w:t>
      </w:r>
      <w:proofErr w:type="spellStart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>încadrează</w:t>
      </w:r>
      <w:proofErr w:type="spellEnd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>prevederile</w:t>
      </w:r>
      <w:proofErr w:type="spellEnd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>Legii</w:t>
      </w:r>
      <w:proofErr w:type="spellEnd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 xml:space="preserve"> 226/2021 </w:t>
      </w:r>
      <w:proofErr w:type="spellStart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>privind</w:t>
      </w:r>
      <w:proofErr w:type="spellEnd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>stabilirea</w:t>
      </w:r>
      <w:proofErr w:type="spellEnd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>măsurilor</w:t>
      </w:r>
      <w:proofErr w:type="spellEnd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>protecție</w:t>
      </w:r>
      <w:proofErr w:type="spellEnd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>socială</w:t>
      </w:r>
      <w:proofErr w:type="spellEnd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>consumatorul</w:t>
      </w:r>
      <w:proofErr w:type="spellEnd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>vulnerabil</w:t>
      </w:r>
      <w:proofErr w:type="spellEnd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>energie</w:t>
      </w:r>
      <w:proofErr w:type="spellEnd"/>
      <w:r w:rsidRPr="00E86B6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A31579F" w14:textId="77777777" w:rsidR="00722783" w:rsidRDefault="00722783" w:rsidP="00722783">
      <w:pPr>
        <w:rPr>
          <w:b/>
        </w:rPr>
      </w:pPr>
    </w:p>
    <w:p w14:paraId="14449DC5" w14:textId="77777777" w:rsidR="00722783" w:rsidRDefault="00722783" w:rsidP="00722783">
      <w:pPr>
        <w:rPr>
          <w:b/>
        </w:rPr>
      </w:pPr>
    </w:p>
    <w:p w14:paraId="7407E1A1" w14:textId="77777777" w:rsidR="00722783" w:rsidRDefault="00722783" w:rsidP="00722783">
      <w:pPr>
        <w:rPr>
          <w:b/>
        </w:rPr>
      </w:pPr>
    </w:p>
    <w:p w14:paraId="42C7F708" w14:textId="77777777" w:rsidR="00722783" w:rsidRDefault="00722783" w:rsidP="00722783">
      <w:pPr>
        <w:rPr>
          <w:b/>
        </w:rPr>
      </w:pPr>
    </w:p>
    <w:p w14:paraId="60E5DF59" w14:textId="77777777" w:rsidR="00722783" w:rsidRDefault="00722783" w:rsidP="00722783">
      <w:pPr>
        <w:rPr>
          <w:b/>
        </w:rPr>
      </w:pPr>
    </w:p>
    <w:p w14:paraId="175332D9" w14:textId="77777777" w:rsidR="00722783" w:rsidRDefault="00722783" w:rsidP="00722783">
      <w:pPr>
        <w:rPr>
          <w:b/>
        </w:rPr>
      </w:pPr>
    </w:p>
    <w:p w14:paraId="5FFA170C" w14:textId="55F446F6" w:rsidR="00722783" w:rsidRPr="0037344D" w:rsidRDefault="00722783" w:rsidP="00722783">
      <w:pPr>
        <w:rPr>
          <w:b/>
        </w:rPr>
      </w:pPr>
      <w:r w:rsidRPr="0037344D">
        <w:rPr>
          <w:b/>
        </w:rPr>
        <w:lastRenderedPageBreak/>
        <w:t>AJUTOR PENTRU</w:t>
      </w:r>
      <w:r>
        <w:rPr>
          <w:b/>
        </w:rPr>
        <w:t xml:space="preserve"> INCALZIREA LOCUINTEI IN SEZONUL RECE 2024- 2025</w:t>
      </w:r>
    </w:p>
    <w:p w14:paraId="18530AF1" w14:textId="77777777" w:rsidR="00722783" w:rsidRPr="00582E40" w:rsidRDefault="00722783" w:rsidP="00722783">
      <w:pPr>
        <w:rPr>
          <w:b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546"/>
        <w:gridCol w:w="2128"/>
        <w:gridCol w:w="2338"/>
        <w:gridCol w:w="2338"/>
      </w:tblGrid>
      <w:tr w:rsidR="00722783" w:rsidRPr="00582E40" w14:paraId="3685D3F5" w14:textId="77777777" w:rsidTr="00E761D3">
        <w:tc>
          <w:tcPr>
            <w:tcW w:w="4675" w:type="dxa"/>
            <w:gridSpan w:val="2"/>
          </w:tcPr>
          <w:p w14:paraId="44D78263" w14:textId="77777777" w:rsidR="00722783" w:rsidRPr="0037344D" w:rsidRDefault="00722783" w:rsidP="00E761D3">
            <w:pPr>
              <w:rPr>
                <w:b/>
                <w:sz w:val="24"/>
                <w:szCs w:val="24"/>
              </w:rPr>
            </w:pPr>
            <w:proofErr w:type="spellStart"/>
            <w:r w:rsidRPr="0037344D">
              <w:rPr>
                <w:b/>
                <w:sz w:val="24"/>
                <w:szCs w:val="24"/>
              </w:rPr>
              <w:t>Valoare</w:t>
            </w:r>
            <w:proofErr w:type="spellEnd"/>
            <w:r w:rsidRPr="0037344D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37344D">
              <w:rPr>
                <w:b/>
                <w:sz w:val="24"/>
                <w:szCs w:val="24"/>
              </w:rPr>
              <w:t>referinta</w:t>
            </w:r>
            <w:proofErr w:type="spellEnd"/>
            <w:r w:rsidRPr="0037344D">
              <w:rPr>
                <w:b/>
                <w:sz w:val="24"/>
                <w:szCs w:val="24"/>
              </w:rPr>
              <w:t>(</w:t>
            </w:r>
            <w:proofErr w:type="spellStart"/>
            <w:r w:rsidRPr="0037344D">
              <w:rPr>
                <w:b/>
                <w:sz w:val="24"/>
                <w:szCs w:val="24"/>
              </w:rPr>
              <w:t>ajutor</w:t>
            </w:r>
            <w:proofErr w:type="spellEnd"/>
            <w:r w:rsidRPr="0037344D">
              <w:rPr>
                <w:b/>
                <w:sz w:val="24"/>
                <w:szCs w:val="24"/>
              </w:rPr>
              <w:t xml:space="preserve"> maxim lunar lei)</w:t>
            </w:r>
          </w:p>
        </w:tc>
        <w:tc>
          <w:tcPr>
            <w:tcW w:w="4675" w:type="dxa"/>
            <w:gridSpan w:val="2"/>
          </w:tcPr>
          <w:p w14:paraId="1AB1EAB5" w14:textId="77777777" w:rsidR="00722783" w:rsidRPr="0037344D" w:rsidRDefault="00722783" w:rsidP="00E761D3">
            <w:pPr>
              <w:rPr>
                <w:b/>
                <w:sz w:val="24"/>
                <w:szCs w:val="24"/>
              </w:rPr>
            </w:pPr>
            <w:r w:rsidRPr="0037344D">
              <w:rPr>
                <w:b/>
                <w:sz w:val="24"/>
                <w:szCs w:val="24"/>
              </w:rPr>
              <w:t xml:space="preserve"> 320</w:t>
            </w:r>
          </w:p>
        </w:tc>
      </w:tr>
      <w:tr w:rsidR="00722783" w14:paraId="3A293F38" w14:textId="77777777" w:rsidTr="00E761D3">
        <w:tc>
          <w:tcPr>
            <w:tcW w:w="2547" w:type="dxa"/>
          </w:tcPr>
          <w:p w14:paraId="47212C4E" w14:textId="77777777" w:rsidR="00722783" w:rsidRDefault="00722783" w:rsidP="00E761D3">
            <w:r w:rsidRPr="00436650">
              <w:rPr>
                <w:b/>
              </w:rPr>
              <w:t>Venit net lunar /</w:t>
            </w:r>
            <w:proofErr w:type="spellStart"/>
            <w:r w:rsidRPr="00436650">
              <w:rPr>
                <w:b/>
              </w:rPr>
              <w:t>membru</w:t>
            </w:r>
            <w:proofErr w:type="spellEnd"/>
            <w:r w:rsidRPr="00436650">
              <w:rPr>
                <w:b/>
              </w:rPr>
              <w:t xml:space="preserve"> de </w:t>
            </w:r>
            <w:proofErr w:type="spellStart"/>
            <w:r w:rsidRPr="00436650">
              <w:rPr>
                <w:b/>
              </w:rPr>
              <w:t>familie</w:t>
            </w:r>
            <w:proofErr w:type="spellEnd"/>
            <w:r w:rsidRPr="00436650">
              <w:rPr>
                <w:b/>
              </w:rPr>
              <w:t xml:space="preserve"> </w:t>
            </w:r>
            <w:proofErr w:type="spellStart"/>
            <w:r w:rsidRPr="00436650">
              <w:rPr>
                <w:b/>
              </w:rPr>
              <w:t>sau</w:t>
            </w:r>
            <w:proofErr w:type="spellEnd"/>
            <w:r w:rsidRPr="00436650">
              <w:rPr>
                <w:b/>
              </w:rPr>
              <w:t xml:space="preserve"> al </w:t>
            </w:r>
            <w:proofErr w:type="spellStart"/>
            <w:r w:rsidRPr="00436650">
              <w:rPr>
                <w:b/>
              </w:rPr>
              <w:t>persoanei</w:t>
            </w:r>
            <w:proofErr w:type="spellEnd"/>
            <w:r w:rsidRPr="00436650">
              <w:rPr>
                <w:b/>
              </w:rPr>
              <w:t xml:space="preserve"> </w:t>
            </w:r>
            <w:proofErr w:type="spellStart"/>
            <w:r w:rsidRPr="00436650">
              <w:rPr>
                <w:b/>
              </w:rPr>
              <w:t>singure</w:t>
            </w:r>
            <w:proofErr w:type="spellEnd"/>
            <w:r w:rsidRPr="00436650">
              <w:rPr>
                <w:b/>
              </w:rPr>
              <w:t>(lei</w:t>
            </w:r>
            <w:r>
              <w:t>)</w:t>
            </w:r>
          </w:p>
        </w:tc>
        <w:tc>
          <w:tcPr>
            <w:tcW w:w="2127" w:type="dxa"/>
          </w:tcPr>
          <w:p w14:paraId="5EAD7F0E" w14:textId="77777777" w:rsidR="00722783" w:rsidRPr="00436650" w:rsidRDefault="00722783" w:rsidP="00E761D3">
            <w:pPr>
              <w:jc w:val="center"/>
              <w:rPr>
                <w:b/>
              </w:rPr>
            </w:pPr>
            <w:proofErr w:type="spellStart"/>
            <w:r w:rsidRPr="00436650">
              <w:rPr>
                <w:b/>
              </w:rPr>
              <w:t>Compensare</w:t>
            </w:r>
            <w:proofErr w:type="spellEnd"/>
            <w:r w:rsidRPr="00436650">
              <w:rPr>
                <w:b/>
              </w:rPr>
              <w:t xml:space="preserve"> </w:t>
            </w:r>
            <w:proofErr w:type="spellStart"/>
            <w:r w:rsidRPr="00436650">
              <w:rPr>
                <w:b/>
              </w:rPr>
              <w:t>procentuala</w:t>
            </w:r>
            <w:proofErr w:type="spellEnd"/>
          </w:p>
        </w:tc>
        <w:tc>
          <w:tcPr>
            <w:tcW w:w="2338" w:type="dxa"/>
          </w:tcPr>
          <w:p w14:paraId="40F02A4E" w14:textId="77777777" w:rsidR="00722783" w:rsidRPr="00436650" w:rsidRDefault="00722783" w:rsidP="00E761D3">
            <w:pPr>
              <w:jc w:val="center"/>
              <w:rPr>
                <w:b/>
              </w:rPr>
            </w:pPr>
            <w:proofErr w:type="spellStart"/>
            <w:r w:rsidRPr="00436650">
              <w:rPr>
                <w:b/>
              </w:rPr>
              <w:t>Ajutor</w:t>
            </w:r>
            <w:proofErr w:type="spellEnd"/>
            <w:r w:rsidRPr="00436650">
              <w:rPr>
                <w:b/>
              </w:rPr>
              <w:t xml:space="preserve"> maxim</w:t>
            </w:r>
          </w:p>
        </w:tc>
        <w:tc>
          <w:tcPr>
            <w:tcW w:w="2338" w:type="dxa"/>
          </w:tcPr>
          <w:p w14:paraId="5893D397" w14:textId="77777777" w:rsidR="00722783" w:rsidRPr="00436650" w:rsidRDefault="00722783" w:rsidP="00E761D3">
            <w:pPr>
              <w:rPr>
                <w:b/>
              </w:rPr>
            </w:pPr>
            <w:proofErr w:type="spellStart"/>
            <w:r w:rsidRPr="00436650">
              <w:rPr>
                <w:b/>
              </w:rPr>
              <w:t>Supliment</w:t>
            </w:r>
            <w:proofErr w:type="spellEnd"/>
            <w:r w:rsidRPr="00436650">
              <w:rPr>
                <w:b/>
              </w:rPr>
              <w:t xml:space="preserve"> lunar </w:t>
            </w:r>
            <w:proofErr w:type="spellStart"/>
            <w:r w:rsidRPr="00436650">
              <w:rPr>
                <w:b/>
              </w:rPr>
              <w:t>pentru</w:t>
            </w:r>
            <w:proofErr w:type="spellEnd"/>
            <w:r w:rsidRPr="00436650">
              <w:rPr>
                <w:b/>
              </w:rPr>
              <w:t xml:space="preserve"> </w:t>
            </w:r>
            <w:proofErr w:type="spellStart"/>
            <w:r w:rsidRPr="00436650">
              <w:rPr>
                <w:b/>
              </w:rPr>
              <w:t>energie</w:t>
            </w:r>
            <w:proofErr w:type="spellEnd"/>
            <w:r w:rsidRPr="00436650">
              <w:rPr>
                <w:b/>
              </w:rPr>
              <w:t>(lei)</w:t>
            </w:r>
          </w:p>
        </w:tc>
      </w:tr>
      <w:tr w:rsidR="00722783" w14:paraId="708DD7EE" w14:textId="77777777" w:rsidTr="00E761D3">
        <w:tc>
          <w:tcPr>
            <w:tcW w:w="2547" w:type="dxa"/>
          </w:tcPr>
          <w:p w14:paraId="5B6B0861" w14:textId="77777777" w:rsidR="00722783" w:rsidRDefault="00722783" w:rsidP="00E761D3">
            <w:r>
              <w:t>Pana la 200 lei</w:t>
            </w:r>
          </w:p>
        </w:tc>
        <w:tc>
          <w:tcPr>
            <w:tcW w:w="2127" w:type="dxa"/>
          </w:tcPr>
          <w:p w14:paraId="342D648E" w14:textId="77777777" w:rsidR="00722783" w:rsidRDefault="00722783" w:rsidP="00E761D3">
            <w:pPr>
              <w:jc w:val="center"/>
            </w:pPr>
            <w:r>
              <w:t>100%</w:t>
            </w:r>
          </w:p>
        </w:tc>
        <w:tc>
          <w:tcPr>
            <w:tcW w:w="2338" w:type="dxa"/>
          </w:tcPr>
          <w:p w14:paraId="4C7763F7" w14:textId="77777777" w:rsidR="00722783" w:rsidRDefault="00722783" w:rsidP="00E761D3">
            <w:pPr>
              <w:jc w:val="center"/>
            </w:pPr>
            <w:r>
              <w:t>320</w:t>
            </w:r>
          </w:p>
        </w:tc>
        <w:tc>
          <w:tcPr>
            <w:tcW w:w="2338" w:type="dxa"/>
          </w:tcPr>
          <w:p w14:paraId="1B42E668" w14:textId="77777777" w:rsidR="00722783" w:rsidRDefault="00722783" w:rsidP="00E761D3">
            <w:pPr>
              <w:jc w:val="center"/>
            </w:pPr>
            <w:r>
              <w:t>20</w:t>
            </w:r>
          </w:p>
        </w:tc>
      </w:tr>
      <w:tr w:rsidR="00722783" w14:paraId="5A815F8A" w14:textId="77777777" w:rsidTr="00E761D3">
        <w:tc>
          <w:tcPr>
            <w:tcW w:w="2547" w:type="dxa"/>
          </w:tcPr>
          <w:p w14:paraId="0CA1AF7D" w14:textId="77777777" w:rsidR="00722783" w:rsidRDefault="00722783" w:rsidP="00E761D3">
            <w:r>
              <w:t>200,1 lei -320 lei</w:t>
            </w:r>
          </w:p>
        </w:tc>
        <w:tc>
          <w:tcPr>
            <w:tcW w:w="2127" w:type="dxa"/>
          </w:tcPr>
          <w:p w14:paraId="31D602C9" w14:textId="77777777" w:rsidR="00722783" w:rsidRDefault="00722783" w:rsidP="00E761D3">
            <w:pPr>
              <w:jc w:val="center"/>
            </w:pPr>
            <w:r>
              <w:t>90%</w:t>
            </w:r>
          </w:p>
        </w:tc>
        <w:tc>
          <w:tcPr>
            <w:tcW w:w="2338" w:type="dxa"/>
          </w:tcPr>
          <w:p w14:paraId="7A35B195" w14:textId="77777777" w:rsidR="00722783" w:rsidRDefault="00722783" w:rsidP="00E761D3">
            <w:pPr>
              <w:jc w:val="center"/>
            </w:pPr>
            <w:r>
              <w:t>288</w:t>
            </w:r>
          </w:p>
        </w:tc>
        <w:tc>
          <w:tcPr>
            <w:tcW w:w="2338" w:type="dxa"/>
          </w:tcPr>
          <w:p w14:paraId="78EA95CA" w14:textId="77777777" w:rsidR="00722783" w:rsidRDefault="00722783" w:rsidP="00E761D3">
            <w:pPr>
              <w:jc w:val="center"/>
            </w:pPr>
            <w:r w:rsidRPr="00CB654E">
              <w:t>20</w:t>
            </w:r>
          </w:p>
        </w:tc>
      </w:tr>
      <w:tr w:rsidR="00722783" w14:paraId="6F865C09" w14:textId="77777777" w:rsidTr="00E761D3">
        <w:tc>
          <w:tcPr>
            <w:tcW w:w="2547" w:type="dxa"/>
          </w:tcPr>
          <w:p w14:paraId="303B2666" w14:textId="77777777" w:rsidR="00722783" w:rsidRDefault="00722783" w:rsidP="00E761D3">
            <w:r>
              <w:t>320,1 lei- 440 lei</w:t>
            </w:r>
          </w:p>
        </w:tc>
        <w:tc>
          <w:tcPr>
            <w:tcW w:w="2127" w:type="dxa"/>
          </w:tcPr>
          <w:p w14:paraId="683CD4CB" w14:textId="77777777" w:rsidR="00722783" w:rsidRDefault="00722783" w:rsidP="00E761D3">
            <w:pPr>
              <w:jc w:val="center"/>
            </w:pPr>
            <w:r>
              <w:t>80%</w:t>
            </w:r>
          </w:p>
        </w:tc>
        <w:tc>
          <w:tcPr>
            <w:tcW w:w="2338" w:type="dxa"/>
          </w:tcPr>
          <w:p w14:paraId="00BC635D" w14:textId="77777777" w:rsidR="00722783" w:rsidRDefault="00722783" w:rsidP="00E761D3">
            <w:pPr>
              <w:jc w:val="center"/>
            </w:pPr>
            <w:r>
              <w:t>256</w:t>
            </w:r>
          </w:p>
        </w:tc>
        <w:tc>
          <w:tcPr>
            <w:tcW w:w="2338" w:type="dxa"/>
          </w:tcPr>
          <w:p w14:paraId="563CA4AD" w14:textId="77777777" w:rsidR="00722783" w:rsidRDefault="00722783" w:rsidP="00E761D3">
            <w:pPr>
              <w:jc w:val="center"/>
            </w:pPr>
            <w:r w:rsidRPr="00CB654E">
              <w:t>20</w:t>
            </w:r>
          </w:p>
        </w:tc>
      </w:tr>
      <w:tr w:rsidR="00722783" w14:paraId="2B94E5EB" w14:textId="77777777" w:rsidTr="00E761D3">
        <w:tc>
          <w:tcPr>
            <w:tcW w:w="2547" w:type="dxa"/>
          </w:tcPr>
          <w:p w14:paraId="1085ACC0" w14:textId="77777777" w:rsidR="00722783" w:rsidRDefault="00722783" w:rsidP="00E761D3">
            <w:r>
              <w:t>440,1 lei -560 lei</w:t>
            </w:r>
          </w:p>
        </w:tc>
        <w:tc>
          <w:tcPr>
            <w:tcW w:w="2127" w:type="dxa"/>
          </w:tcPr>
          <w:p w14:paraId="7340EF61" w14:textId="77777777" w:rsidR="00722783" w:rsidRDefault="00722783" w:rsidP="00E761D3">
            <w:pPr>
              <w:jc w:val="center"/>
            </w:pPr>
            <w:r>
              <w:t>70%</w:t>
            </w:r>
          </w:p>
        </w:tc>
        <w:tc>
          <w:tcPr>
            <w:tcW w:w="2338" w:type="dxa"/>
          </w:tcPr>
          <w:p w14:paraId="1D2C4DD5" w14:textId="77777777" w:rsidR="00722783" w:rsidRDefault="00722783" w:rsidP="00E761D3">
            <w:pPr>
              <w:jc w:val="center"/>
            </w:pPr>
            <w:r>
              <w:t>224</w:t>
            </w:r>
          </w:p>
        </w:tc>
        <w:tc>
          <w:tcPr>
            <w:tcW w:w="2338" w:type="dxa"/>
          </w:tcPr>
          <w:p w14:paraId="47B2A5F1" w14:textId="77777777" w:rsidR="00722783" w:rsidRDefault="00722783" w:rsidP="00E761D3">
            <w:pPr>
              <w:jc w:val="center"/>
            </w:pPr>
            <w:r w:rsidRPr="00CB654E">
              <w:t>20</w:t>
            </w:r>
          </w:p>
        </w:tc>
      </w:tr>
      <w:tr w:rsidR="00722783" w14:paraId="13A9E9AC" w14:textId="77777777" w:rsidTr="00E761D3">
        <w:tc>
          <w:tcPr>
            <w:tcW w:w="2547" w:type="dxa"/>
          </w:tcPr>
          <w:p w14:paraId="0A453A45" w14:textId="77777777" w:rsidR="00722783" w:rsidRDefault="00722783" w:rsidP="00E761D3">
            <w:r>
              <w:t>560,1 lei -680 lei</w:t>
            </w:r>
          </w:p>
        </w:tc>
        <w:tc>
          <w:tcPr>
            <w:tcW w:w="2127" w:type="dxa"/>
          </w:tcPr>
          <w:p w14:paraId="1CD93100" w14:textId="77777777" w:rsidR="00722783" w:rsidRDefault="00722783" w:rsidP="00E761D3">
            <w:pPr>
              <w:jc w:val="center"/>
            </w:pPr>
            <w:r>
              <w:t>60%</w:t>
            </w:r>
          </w:p>
        </w:tc>
        <w:tc>
          <w:tcPr>
            <w:tcW w:w="2338" w:type="dxa"/>
          </w:tcPr>
          <w:p w14:paraId="53398EDC" w14:textId="77777777" w:rsidR="00722783" w:rsidRDefault="00722783" w:rsidP="00E761D3">
            <w:pPr>
              <w:jc w:val="center"/>
            </w:pPr>
            <w:r>
              <w:t>192</w:t>
            </w:r>
          </w:p>
        </w:tc>
        <w:tc>
          <w:tcPr>
            <w:tcW w:w="2338" w:type="dxa"/>
          </w:tcPr>
          <w:p w14:paraId="622A8129" w14:textId="77777777" w:rsidR="00722783" w:rsidRDefault="00722783" w:rsidP="00E761D3">
            <w:pPr>
              <w:jc w:val="center"/>
            </w:pPr>
            <w:r w:rsidRPr="00CB654E">
              <w:t>20</w:t>
            </w:r>
          </w:p>
        </w:tc>
      </w:tr>
      <w:tr w:rsidR="00722783" w14:paraId="6D55788A" w14:textId="77777777" w:rsidTr="00E761D3">
        <w:tc>
          <w:tcPr>
            <w:tcW w:w="2547" w:type="dxa"/>
          </w:tcPr>
          <w:p w14:paraId="787634E9" w14:textId="77777777" w:rsidR="00722783" w:rsidRDefault="00722783" w:rsidP="00E761D3">
            <w:r>
              <w:t>680,1 lei -920 lei</w:t>
            </w:r>
          </w:p>
        </w:tc>
        <w:tc>
          <w:tcPr>
            <w:tcW w:w="2127" w:type="dxa"/>
          </w:tcPr>
          <w:p w14:paraId="69D8CF25" w14:textId="77777777" w:rsidR="00722783" w:rsidRDefault="00722783" w:rsidP="00E761D3">
            <w:pPr>
              <w:jc w:val="center"/>
            </w:pPr>
            <w:r>
              <w:t>50%</w:t>
            </w:r>
          </w:p>
        </w:tc>
        <w:tc>
          <w:tcPr>
            <w:tcW w:w="2338" w:type="dxa"/>
          </w:tcPr>
          <w:p w14:paraId="3D8FAC10" w14:textId="77777777" w:rsidR="00722783" w:rsidRDefault="00722783" w:rsidP="00E761D3">
            <w:pPr>
              <w:jc w:val="center"/>
            </w:pPr>
            <w:r>
              <w:t>160</w:t>
            </w:r>
          </w:p>
        </w:tc>
        <w:tc>
          <w:tcPr>
            <w:tcW w:w="2338" w:type="dxa"/>
          </w:tcPr>
          <w:p w14:paraId="4BC8B1B0" w14:textId="77777777" w:rsidR="00722783" w:rsidRDefault="00722783" w:rsidP="00E761D3">
            <w:pPr>
              <w:jc w:val="center"/>
            </w:pPr>
            <w:r w:rsidRPr="00CB654E">
              <w:t>20</w:t>
            </w:r>
          </w:p>
        </w:tc>
      </w:tr>
      <w:tr w:rsidR="00722783" w14:paraId="4E558F2E" w14:textId="77777777" w:rsidTr="00E761D3">
        <w:tc>
          <w:tcPr>
            <w:tcW w:w="2547" w:type="dxa"/>
          </w:tcPr>
          <w:p w14:paraId="02FE2A8A" w14:textId="77777777" w:rsidR="00722783" w:rsidRDefault="00722783" w:rsidP="00E761D3">
            <w:r>
              <w:t>920,1 lei -1040 lei</w:t>
            </w:r>
          </w:p>
        </w:tc>
        <w:tc>
          <w:tcPr>
            <w:tcW w:w="2127" w:type="dxa"/>
          </w:tcPr>
          <w:p w14:paraId="6BB2B2E4" w14:textId="77777777" w:rsidR="00722783" w:rsidRDefault="00722783" w:rsidP="00E761D3">
            <w:pPr>
              <w:jc w:val="center"/>
            </w:pPr>
            <w:r>
              <w:t>40%</w:t>
            </w:r>
          </w:p>
        </w:tc>
        <w:tc>
          <w:tcPr>
            <w:tcW w:w="2338" w:type="dxa"/>
          </w:tcPr>
          <w:p w14:paraId="4185CEF7" w14:textId="77777777" w:rsidR="00722783" w:rsidRDefault="00722783" w:rsidP="00E761D3">
            <w:pPr>
              <w:jc w:val="center"/>
            </w:pPr>
            <w:r>
              <w:t>128</w:t>
            </w:r>
          </w:p>
        </w:tc>
        <w:tc>
          <w:tcPr>
            <w:tcW w:w="2338" w:type="dxa"/>
          </w:tcPr>
          <w:p w14:paraId="4561A722" w14:textId="77777777" w:rsidR="00722783" w:rsidRDefault="00722783" w:rsidP="00E761D3">
            <w:pPr>
              <w:jc w:val="center"/>
            </w:pPr>
            <w:r w:rsidRPr="00CB654E">
              <w:t>20</w:t>
            </w:r>
          </w:p>
        </w:tc>
      </w:tr>
      <w:tr w:rsidR="00722783" w14:paraId="27A997DE" w14:textId="77777777" w:rsidTr="00E761D3">
        <w:tc>
          <w:tcPr>
            <w:tcW w:w="2547" w:type="dxa"/>
          </w:tcPr>
          <w:p w14:paraId="4362AAA8" w14:textId="77777777" w:rsidR="00722783" w:rsidRDefault="00722783" w:rsidP="00E761D3">
            <w:r>
              <w:t>1040,1 lei -1160 lei</w:t>
            </w:r>
          </w:p>
        </w:tc>
        <w:tc>
          <w:tcPr>
            <w:tcW w:w="2127" w:type="dxa"/>
          </w:tcPr>
          <w:p w14:paraId="3B39CBCB" w14:textId="77777777" w:rsidR="00722783" w:rsidRDefault="00722783" w:rsidP="00E761D3">
            <w:pPr>
              <w:jc w:val="center"/>
            </w:pPr>
            <w:r>
              <w:t>30%</w:t>
            </w:r>
          </w:p>
        </w:tc>
        <w:tc>
          <w:tcPr>
            <w:tcW w:w="2338" w:type="dxa"/>
          </w:tcPr>
          <w:p w14:paraId="334BFFA4" w14:textId="77777777" w:rsidR="00722783" w:rsidRDefault="00722783" w:rsidP="00E761D3">
            <w:pPr>
              <w:jc w:val="center"/>
            </w:pPr>
            <w:r>
              <w:t>96</w:t>
            </w:r>
          </w:p>
        </w:tc>
        <w:tc>
          <w:tcPr>
            <w:tcW w:w="2338" w:type="dxa"/>
          </w:tcPr>
          <w:p w14:paraId="059B08B4" w14:textId="77777777" w:rsidR="00722783" w:rsidRDefault="00722783" w:rsidP="00E761D3">
            <w:pPr>
              <w:jc w:val="center"/>
            </w:pPr>
            <w:r w:rsidRPr="00CB654E">
              <w:t>20</w:t>
            </w:r>
          </w:p>
        </w:tc>
      </w:tr>
      <w:tr w:rsidR="00722783" w14:paraId="7B8C42C8" w14:textId="77777777" w:rsidTr="00E761D3">
        <w:tc>
          <w:tcPr>
            <w:tcW w:w="2547" w:type="dxa"/>
          </w:tcPr>
          <w:p w14:paraId="3033D526" w14:textId="77777777" w:rsidR="00722783" w:rsidRDefault="00722783" w:rsidP="00E761D3">
            <w:r>
              <w:t>1160,1 lei -1280 lei</w:t>
            </w:r>
          </w:p>
        </w:tc>
        <w:tc>
          <w:tcPr>
            <w:tcW w:w="2127" w:type="dxa"/>
          </w:tcPr>
          <w:p w14:paraId="4F84E0CE" w14:textId="77777777" w:rsidR="00722783" w:rsidRDefault="00722783" w:rsidP="00E761D3">
            <w:pPr>
              <w:jc w:val="center"/>
            </w:pPr>
            <w:r>
              <w:t>20%</w:t>
            </w:r>
          </w:p>
        </w:tc>
        <w:tc>
          <w:tcPr>
            <w:tcW w:w="2338" w:type="dxa"/>
          </w:tcPr>
          <w:p w14:paraId="37B11C0C" w14:textId="77777777" w:rsidR="00722783" w:rsidRDefault="00722783" w:rsidP="00E761D3">
            <w:pPr>
              <w:jc w:val="center"/>
            </w:pPr>
            <w:r>
              <w:t>64</w:t>
            </w:r>
          </w:p>
        </w:tc>
        <w:tc>
          <w:tcPr>
            <w:tcW w:w="2338" w:type="dxa"/>
          </w:tcPr>
          <w:p w14:paraId="208DD0B4" w14:textId="77777777" w:rsidR="00722783" w:rsidRDefault="00722783" w:rsidP="00E761D3">
            <w:pPr>
              <w:jc w:val="center"/>
            </w:pPr>
            <w:r w:rsidRPr="00CB654E">
              <w:t>20</w:t>
            </w:r>
          </w:p>
        </w:tc>
      </w:tr>
      <w:tr w:rsidR="00722783" w14:paraId="52A24C57" w14:textId="77777777" w:rsidTr="00E761D3">
        <w:tc>
          <w:tcPr>
            <w:tcW w:w="2547" w:type="dxa"/>
          </w:tcPr>
          <w:p w14:paraId="4EEAF81A" w14:textId="77777777" w:rsidR="00722783" w:rsidRDefault="00722783" w:rsidP="00E761D3">
            <w:r>
              <w:t>1280,1 lei -1386 lei</w:t>
            </w:r>
          </w:p>
        </w:tc>
        <w:tc>
          <w:tcPr>
            <w:tcW w:w="2127" w:type="dxa"/>
          </w:tcPr>
          <w:p w14:paraId="273CEA9E" w14:textId="77777777" w:rsidR="00722783" w:rsidRDefault="00722783" w:rsidP="00E761D3">
            <w:pPr>
              <w:jc w:val="center"/>
            </w:pPr>
            <w:r>
              <w:t>10%</w:t>
            </w:r>
          </w:p>
        </w:tc>
        <w:tc>
          <w:tcPr>
            <w:tcW w:w="2338" w:type="dxa"/>
          </w:tcPr>
          <w:p w14:paraId="67017BD3" w14:textId="77777777" w:rsidR="00722783" w:rsidRDefault="00722783" w:rsidP="00E761D3">
            <w:pPr>
              <w:jc w:val="center"/>
            </w:pPr>
            <w:r>
              <w:t>32</w:t>
            </w:r>
          </w:p>
        </w:tc>
        <w:tc>
          <w:tcPr>
            <w:tcW w:w="2338" w:type="dxa"/>
          </w:tcPr>
          <w:p w14:paraId="3EF831FB" w14:textId="77777777" w:rsidR="00722783" w:rsidRDefault="00722783" w:rsidP="00E761D3">
            <w:pPr>
              <w:jc w:val="center"/>
            </w:pPr>
            <w:r w:rsidRPr="00CB654E">
              <w:t>20</w:t>
            </w:r>
          </w:p>
        </w:tc>
      </w:tr>
      <w:tr w:rsidR="00722783" w14:paraId="2DF45953" w14:textId="77777777" w:rsidTr="00E761D3">
        <w:tc>
          <w:tcPr>
            <w:tcW w:w="2547" w:type="dxa"/>
          </w:tcPr>
          <w:p w14:paraId="37577D7F" w14:textId="77777777" w:rsidR="00722783" w:rsidRPr="00436650" w:rsidRDefault="00722783" w:rsidP="00E761D3">
            <w:pPr>
              <w:rPr>
                <w:rFonts w:ascii="Times New Roman" w:hAnsi="Times New Roman"/>
                <w:b/>
              </w:rPr>
            </w:pPr>
            <w:proofErr w:type="spellStart"/>
            <w:r w:rsidRPr="00436650">
              <w:rPr>
                <w:b/>
              </w:rPr>
              <w:t>Intre</w:t>
            </w:r>
            <w:proofErr w:type="spellEnd"/>
            <w:r w:rsidRPr="00436650">
              <w:rPr>
                <w:b/>
              </w:rPr>
              <w:t xml:space="preserve"> 1281,1 lei </w:t>
            </w:r>
            <w:proofErr w:type="spellStart"/>
            <w:r w:rsidRPr="00436650">
              <w:rPr>
                <w:rFonts w:ascii="Times New Roman" w:hAnsi="Times New Roman"/>
                <w:b/>
              </w:rPr>
              <w:t>si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Pr="00436650">
              <w:rPr>
                <w:rFonts w:ascii="Times New Roman" w:hAnsi="Times New Roman"/>
                <w:b/>
              </w:rPr>
              <w:t>2053 lei-</w:t>
            </w:r>
            <w:proofErr w:type="spellStart"/>
            <w:r w:rsidRPr="00436650">
              <w:rPr>
                <w:rFonts w:ascii="Times New Roman" w:hAnsi="Times New Roman"/>
                <w:b/>
              </w:rPr>
              <w:t>persoana</w:t>
            </w:r>
            <w:proofErr w:type="spellEnd"/>
            <w:r w:rsidRPr="0043665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6650">
              <w:rPr>
                <w:rFonts w:ascii="Times New Roman" w:hAnsi="Times New Roman"/>
                <w:b/>
              </w:rPr>
              <w:t>singura</w:t>
            </w:r>
            <w:proofErr w:type="spellEnd"/>
          </w:p>
        </w:tc>
        <w:tc>
          <w:tcPr>
            <w:tcW w:w="2127" w:type="dxa"/>
          </w:tcPr>
          <w:p w14:paraId="32764D73" w14:textId="77777777" w:rsidR="00722783" w:rsidRDefault="00722783" w:rsidP="00E761D3">
            <w:pPr>
              <w:jc w:val="center"/>
            </w:pPr>
            <w:r>
              <w:t>10%</w:t>
            </w:r>
          </w:p>
        </w:tc>
        <w:tc>
          <w:tcPr>
            <w:tcW w:w="2338" w:type="dxa"/>
          </w:tcPr>
          <w:p w14:paraId="7F860639" w14:textId="77777777" w:rsidR="00722783" w:rsidRDefault="00722783" w:rsidP="00E761D3">
            <w:pPr>
              <w:jc w:val="center"/>
            </w:pPr>
            <w:r>
              <w:t>32</w:t>
            </w:r>
          </w:p>
        </w:tc>
        <w:tc>
          <w:tcPr>
            <w:tcW w:w="2338" w:type="dxa"/>
          </w:tcPr>
          <w:p w14:paraId="53A9A38E" w14:textId="77777777" w:rsidR="00722783" w:rsidRDefault="00722783" w:rsidP="00E761D3">
            <w:pPr>
              <w:jc w:val="center"/>
            </w:pPr>
            <w:r w:rsidRPr="00CB654E">
              <w:t>20</w:t>
            </w:r>
          </w:p>
        </w:tc>
      </w:tr>
    </w:tbl>
    <w:p w14:paraId="12139DB9" w14:textId="77777777" w:rsidR="00722783" w:rsidRDefault="00722783" w:rsidP="00722783"/>
    <w:p w14:paraId="7FD33F56" w14:textId="77777777" w:rsidR="00722783" w:rsidRPr="00722783" w:rsidRDefault="00722783" w:rsidP="00722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Acte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necesare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în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vederea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acordării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ajutorului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pentru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încălzirea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locuinței</w:t>
      </w:r>
      <w:proofErr w:type="spellEnd"/>
    </w:p>
    <w:p w14:paraId="6631C432" w14:textId="77777777" w:rsidR="00722783" w:rsidRPr="00722783" w:rsidRDefault="00722783" w:rsidP="00722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Toți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solicitanții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ajutor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încălzire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indiferent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tipul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acestuia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energie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termică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sistem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centralizat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gaze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naturale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combustibil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solid/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petrolier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energie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electrică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),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este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obligatoriu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depună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pe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lângă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formularul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cerere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următoarele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acte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doveditoare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1E40990B" w14:textId="77777777" w:rsidR="00722783" w:rsidRPr="00722783" w:rsidRDefault="00722783" w:rsidP="00722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Acte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doveditoare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privind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locuința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pentru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care se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solicită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ajutorul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pentru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încălzire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2F3BFD89" w14:textId="77777777" w:rsidR="00722783" w:rsidRPr="00722783" w:rsidRDefault="00722783" w:rsidP="00722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Dovada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privind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modalitatea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care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solicitanții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ajutor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încălzire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locuiesc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la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adresa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menționată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formularul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cerere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se face,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după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caz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cu </w:t>
      </w:r>
      <w:proofErr w:type="spellStart"/>
      <w:r w:rsidRPr="0072278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unul</w:t>
      </w:r>
      <w:proofErr w:type="spellEnd"/>
      <w:r w:rsidRPr="00722783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din </w:t>
      </w:r>
      <w:proofErr w:type="spellStart"/>
      <w:r w:rsidRPr="0072278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următoarele</w:t>
      </w:r>
      <w:proofErr w:type="spellEnd"/>
      <w:r w:rsidRPr="00722783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documente</w:t>
      </w:r>
      <w:proofErr w:type="spellEnd"/>
      <w:r w:rsidRPr="00722783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doveditoare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copie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):</w:t>
      </w:r>
    </w:p>
    <w:p w14:paraId="2B7A2FA3" w14:textId="77777777" w:rsidR="00722783" w:rsidRPr="00722783" w:rsidRDefault="00722783" w:rsidP="007227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contract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vânzare-cumpărare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;</w:t>
      </w:r>
    </w:p>
    <w:p w14:paraId="098242E8" w14:textId="77777777" w:rsidR="00722783" w:rsidRPr="00722783" w:rsidRDefault="00722783" w:rsidP="007227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contract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vânzare-cumpărare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cu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clauză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întreținere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sau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cu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drept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habitație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/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uzufruct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;</w:t>
      </w:r>
    </w:p>
    <w:p w14:paraId="654D64B8" w14:textId="77777777" w:rsidR="00722783" w:rsidRPr="00722783" w:rsidRDefault="00722783" w:rsidP="007227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contract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închiriere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72278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înregistrat</w:t>
      </w:r>
      <w:proofErr w:type="spellEnd"/>
      <w:r w:rsidRPr="00722783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la </w:t>
      </w:r>
      <w:proofErr w:type="spellStart"/>
      <w:r w:rsidRPr="0072278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administrația</w:t>
      </w:r>
      <w:proofErr w:type="spellEnd"/>
      <w:r w:rsidRPr="00722783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financiară</w:t>
      </w:r>
      <w:proofErr w:type="spellEnd"/>
      <w:r w:rsidRPr="00722783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și</w:t>
      </w:r>
      <w:proofErr w:type="spellEnd"/>
      <w:r w:rsidRPr="00722783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valabil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;</w:t>
      </w:r>
    </w:p>
    <w:p w14:paraId="651DC7A6" w14:textId="77777777" w:rsidR="00722783" w:rsidRPr="00722783" w:rsidRDefault="00722783" w:rsidP="007227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certificat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moștenitor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;</w:t>
      </w:r>
    </w:p>
    <w:p w14:paraId="42811F38" w14:textId="77777777" w:rsidR="00722783" w:rsidRPr="00722783" w:rsidRDefault="00722783" w:rsidP="007227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contract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comodat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;</w:t>
      </w:r>
    </w:p>
    <w:p w14:paraId="6E97811B" w14:textId="77777777" w:rsidR="00722783" w:rsidRPr="00722783" w:rsidRDefault="00722783" w:rsidP="007227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contract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concesiune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;</w:t>
      </w:r>
    </w:p>
    <w:p w14:paraId="4540D9E0" w14:textId="77777777" w:rsidR="00722783" w:rsidRPr="00722783" w:rsidRDefault="00722783" w:rsidP="007227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împuternicirea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notarială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dată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proprietarul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locuinței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membrii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săi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familie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care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locuiesc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locuința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sa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3F343F5" w14:textId="77777777" w:rsidR="00722783" w:rsidRPr="00722783" w:rsidRDefault="00722783" w:rsidP="00722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      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Contractul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comodat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nu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trebuie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autentificat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la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notar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;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toate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contractele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orice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tip,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trebuie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fie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valabile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6830931" w14:textId="77777777" w:rsidR="00722783" w:rsidRPr="00722783" w:rsidRDefault="00722783" w:rsidP="007227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Acte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doveditoare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privind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componența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familiei</w:t>
      </w:r>
      <w:proofErr w:type="spellEnd"/>
    </w:p>
    <w:p w14:paraId="6C044197" w14:textId="77777777" w:rsidR="00722783" w:rsidRPr="00722783" w:rsidRDefault="00722783" w:rsidP="00722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fiecare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din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membrii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familiei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menționați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formularul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cerere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se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vor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depune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următoarele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documente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copie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):</w:t>
      </w:r>
    </w:p>
    <w:p w14:paraId="7A551ECF" w14:textId="77777777" w:rsidR="00722783" w:rsidRPr="00722783" w:rsidRDefault="00722783" w:rsidP="007227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buletin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identitate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/ carte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identitate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/ carte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identitate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provizorie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persoanele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cu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vârsta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peste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14 ani;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este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obligatoriu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ca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toate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persoanele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menționate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în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formularul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cerere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să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aibă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înscrisă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în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actele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identitate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adresa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la care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solicita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ajutorul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pentru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încălzire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mutația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sau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viza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reședința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);</w:t>
      </w:r>
    </w:p>
    <w:p w14:paraId="2E8BED34" w14:textId="77777777" w:rsidR="00722783" w:rsidRPr="00722783" w:rsidRDefault="00722783" w:rsidP="007227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certificate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naștere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persoanele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cu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vârsta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sub 14 ani.</w:t>
      </w:r>
    </w:p>
    <w:p w14:paraId="29F138FE" w14:textId="77777777" w:rsidR="00722783" w:rsidRPr="00722783" w:rsidRDefault="00722783" w:rsidP="007227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Acte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doveditoare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privind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veniturile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realizate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membrii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familiei</w:t>
      </w:r>
      <w:proofErr w:type="spellEnd"/>
    </w:p>
    <w:p w14:paraId="26243B5F" w14:textId="77777777" w:rsidR="00722783" w:rsidRPr="00722783" w:rsidRDefault="00722783" w:rsidP="00722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salariați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se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vor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depune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adeverințe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eliberate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angajator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fiecare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persoană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adultă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trecută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cerere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. Se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vor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declara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veniturile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nete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realizate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luna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anterioară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completării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și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semnării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cererii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7066FD8" w14:textId="77777777" w:rsidR="00722783" w:rsidRPr="00722783" w:rsidRDefault="00722783" w:rsidP="00722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Exemplu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dacă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data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completării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cererii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este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luna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octombrie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adeverințele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venit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trebuie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certifice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realizate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luna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septembrie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CFDA47C" w14:textId="77777777" w:rsidR="00722783" w:rsidRPr="00722783" w:rsidRDefault="00722783" w:rsidP="00722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Persoanele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care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beneficiază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alocații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și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indemnizații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vor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depune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copie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după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mandat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poștal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/extras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cont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/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decizie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fiecare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persoană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trecută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formularul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cerere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care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realizează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categoria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respectivă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venit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99BFBEC" w14:textId="77777777" w:rsidR="00722783" w:rsidRPr="00722783" w:rsidRDefault="00722783" w:rsidP="00722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Persoanele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care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realizează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venituri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din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activități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independente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din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cedarea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folosinței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bunurilor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din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investiții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din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activități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agricole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din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premii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și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jocuri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noroc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sau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din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alte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surse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vor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depune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adeverințe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eliberate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Administrația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financiară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01C3C2B" w14:textId="77777777" w:rsidR="00722783" w:rsidRPr="00722783" w:rsidRDefault="00722783" w:rsidP="00722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La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stabilirea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venitului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net lunar al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familiei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sau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după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caz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al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persoanei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singure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se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iau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considerare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toate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veniturile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pe care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membrii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acesteia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le-au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realizat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în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luna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anterioară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depunerii</w:t>
      </w:r>
      <w:proofErr w:type="spellEnd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cererii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inclusiv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cele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care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provin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din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drepturi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asigurări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sociale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stat,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asigurări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șomaj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indemnizații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alocații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și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ajutoare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cu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caracter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permanent,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indiferent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bugetul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din care se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suportă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obligații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legale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întreținere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și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alte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creanțe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legale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</w:t>
      </w:r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excepția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263CF046" w14:textId="77777777" w:rsidR="00722783" w:rsidRPr="00722783" w:rsidRDefault="00722783" w:rsidP="007227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venitului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minim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incluziune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baza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Legii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nr. 196/2016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privind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venitul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minim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incluziune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cu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modificările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și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completările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ulterioare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;</w:t>
      </w:r>
    </w:p>
    <w:p w14:paraId="0ADA7F2E" w14:textId="77777777" w:rsidR="00722783" w:rsidRPr="00722783" w:rsidRDefault="00722783" w:rsidP="007227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sumelor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primite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cu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titlu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prestaţii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sociale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baza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Legii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nr. 448/2006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privind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protecţia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şi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promovarea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drepturilor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persoanelor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cu handicap,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republicată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cu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modificările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şi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completările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ulterioare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;</w:t>
      </w:r>
    </w:p>
    <w:p w14:paraId="7B4DC1B4" w14:textId="77777777" w:rsidR="00722783" w:rsidRPr="00722783" w:rsidRDefault="00722783" w:rsidP="007227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alocaţiei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stat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copii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acordată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baza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Legii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nr. 61/1993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privind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alocaţia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stat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copii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republicată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cu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modificările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ulterioare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;</w:t>
      </w:r>
    </w:p>
    <w:p w14:paraId="710D06DB" w14:textId="77777777" w:rsidR="00722783" w:rsidRPr="00722783" w:rsidRDefault="00722783" w:rsidP="007227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sumelor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acordate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ca burse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sau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alte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forme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sprijin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financiar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destinate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exclusiv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susţinerea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educaţiei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preşcolarilor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elevilor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şi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studenţilor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prin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programe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ale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Ministerului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Educaţiei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Naţionale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şi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Cercetării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Ştiinţifice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altor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instituţii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publice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şi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private,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inclusiv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organizaţii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neguvernamentale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;</w:t>
      </w:r>
    </w:p>
    <w:p w14:paraId="1BCCF220" w14:textId="77777777" w:rsidR="00722783" w:rsidRPr="00722783" w:rsidRDefault="00722783" w:rsidP="007227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sumelor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primite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din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activitatea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desfăşurată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ca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zilier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condiţiile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Legii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nr. 52/2011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privind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exercitarea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unor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activităţi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cu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caracter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ocazional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desfăşurate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zilieri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republicată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cu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modificările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şi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completările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ulterioare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precum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şi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cele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obţinute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calitate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prestator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casnic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baza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Legii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nr. 111/2022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privind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reglementarea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activităţii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prestatorului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casnic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;</w:t>
      </w:r>
    </w:p>
    <w:p w14:paraId="20718520" w14:textId="77777777" w:rsidR="00722783" w:rsidRPr="00722783" w:rsidRDefault="00722783" w:rsidP="007227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sumelor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primite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persoanele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apte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muncă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din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familie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ca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urmare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participării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la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programe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formare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profesională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organizate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condiţiile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legii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dacă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acestea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nu au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titlu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venituri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salariale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;</w:t>
      </w:r>
    </w:p>
    <w:p w14:paraId="3E0CEBC0" w14:textId="77777777" w:rsidR="00722783" w:rsidRPr="00722783" w:rsidRDefault="00722783" w:rsidP="007227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stimulentului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educaţional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acordat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potrivit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prevederilor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Legii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nr. 248/2015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privind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stimularea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participării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învăţământul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preşcolar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copiilor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provenind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din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familii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defavorizate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republicată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, sub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formă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tichet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social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stimularea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participării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învăţământul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preşcolar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copiilor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proveniţi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din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familii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defavorizate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;</w:t>
      </w:r>
    </w:p>
    <w:p w14:paraId="10BCF766" w14:textId="77777777" w:rsidR="00722783" w:rsidRPr="00722783" w:rsidRDefault="00722783" w:rsidP="007227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sumelor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ocazionale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acordate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la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bugetul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stat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sau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bugetele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locale cu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caracter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despăgubiri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sau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sprijin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financiar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situaţii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excepţionale</w:t>
      </w:r>
      <w:proofErr w:type="spellEnd"/>
      <w:r w:rsidRPr="00722783">
        <w:rPr>
          <w:rFonts w:ascii="Times New Roman" w:eastAsia="Times New Roman" w:hAnsi="Times New Roman" w:cs="Times New Roman"/>
          <w:kern w:val="0"/>
          <w14:ligatures w14:val="none"/>
        </w:rPr>
        <w:t>;</w:t>
      </w:r>
    </w:p>
    <w:p w14:paraId="707552E5" w14:textId="77777777" w:rsidR="00722783" w:rsidRPr="00E86B61" w:rsidRDefault="00722783" w:rsidP="00B64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2F4F0B8" w14:textId="77777777" w:rsidR="00E86B61" w:rsidRPr="00E86B61" w:rsidRDefault="00E86B61" w:rsidP="00E86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6B61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092FDF75" w14:textId="77777777" w:rsidR="003447FD" w:rsidRDefault="003447FD"/>
    <w:sectPr w:rsidR="00344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B105E"/>
    <w:multiLevelType w:val="multilevel"/>
    <w:tmpl w:val="3898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820D7"/>
    <w:multiLevelType w:val="multilevel"/>
    <w:tmpl w:val="3DF42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12842"/>
    <w:multiLevelType w:val="multilevel"/>
    <w:tmpl w:val="3A10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2707F6"/>
    <w:multiLevelType w:val="multilevel"/>
    <w:tmpl w:val="2D0A4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C421E2"/>
    <w:multiLevelType w:val="multilevel"/>
    <w:tmpl w:val="0DA4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673AB5"/>
    <w:multiLevelType w:val="multilevel"/>
    <w:tmpl w:val="EDEC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6B645C"/>
    <w:multiLevelType w:val="multilevel"/>
    <w:tmpl w:val="E91E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81504C"/>
    <w:multiLevelType w:val="multilevel"/>
    <w:tmpl w:val="4DC2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9305766">
    <w:abstractNumId w:val="1"/>
  </w:num>
  <w:num w:numId="2" w16cid:durableId="25102941">
    <w:abstractNumId w:val="3"/>
  </w:num>
  <w:num w:numId="3" w16cid:durableId="964891253">
    <w:abstractNumId w:val="7"/>
  </w:num>
  <w:num w:numId="4" w16cid:durableId="1702170682">
    <w:abstractNumId w:val="5"/>
  </w:num>
  <w:num w:numId="5" w16cid:durableId="106703981">
    <w:abstractNumId w:val="2"/>
  </w:num>
  <w:num w:numId="6" w16cid:durableId="930356655">
    <w:abstractNumId w:val="0"/>
  </w:num>
  <w:num w:numId="7" w16cid:durableId="549154791">
    <w:abstractNumId w:val="6"/>
  </w:num>
  <w:num w:numId="8" w16cid:durableId="870800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FD"/>
    <w:rsid w:val="003447FD"/>
    <w:rsid w:val="00722783"/>
    <w:rsid w:val="00887DEC"/>
    <w:rsid w:val="009C6159"/>
    <w:rsid w:val="009D5483"/>
    <w:rsid w:val="00B64743"/>
    <w:rsid w:val="00E86B61"/>
    <w:rsid w:val="00FC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8755"/>
  <w15:chartTrackingRefBased/>
  <w15:docId w15:val="{47E09261-7A34-49C7-93D2-2AE5F757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44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44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447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44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447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44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44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44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44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44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44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447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447FD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447FD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447F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447F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447F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447F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44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44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44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44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44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3447F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447F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3447FD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44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447FD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447F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C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Robust">
    <w:name w:val="Strong"/>
    <w:basedOn w:val="Fontdeparagrafimplicit"/>
    <w:uiPriority w:val="22"/>
    <w:qFormat/>
    <w:rsid w:val="009C6159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9C6159"/>
    <w:rPr>
      <w:color w:val="0000FF"/>
      <w:u w:val="single"/>
    </w:rPr>
  </w:style>
  <w:style w:type="table" w:styleId="Tabelgril">
    <w:name w:val="Table Grid"/>
    <w:basedOn w:val="TabelNormal"/>
    <w:uiPriority w:val="39"/>
    <w:rsid w:val="0072278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Afis/2379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islatie.just.ro/Public/DetaliiDocumentAfis/2379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islatie.just.ro/Public/DetaliiDocumentAfis/237956" TargetMode="External"/><Relationship Id="rId5" Type="http://schemas.openxmlformats.org/officeDocument/2006/relationships/hyperlink" Target="http://legislatie.just.ro/Public/DetaliiDocumentAfis/23795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1680</Words>
  <Characters>9580</Characters>
  <Application>Microsoft Office Word</Application>
  <DocSecurity>0</DocSecurity>
  <Lines>79</Lines>
  <Paragraphs>22</Paragraphs>
  <ScaleCrop>false</ScaleCrop>
  <Company/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6</cp:revision>
  <dcterms:created xsi:type="dcterms:W3CDTF">2025-03-25T06:16:00Z</dcterms:created>
  <dcterms:modified xsi:type="dcterms:W3CDTF">2025-03-25T06:26:00Z</dcterms:modified>
</cp:coreProperties>
</file>